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59E5" w14:textId="685DC273" w:rsidR="00D75CF6" w:rsidRDefault="00D75CF6" w:rsidP="00D75CF6">
      <w:pPr>
        <w:ind w:firstLine="0"/>
        <w:jc w:val="left"/>
        <w:rPr>
          <w:rFonts w:asciiTheme="majorHAnsi" w:hAnsiTheme="majorHAnsi" w:cstheme="majorHAnsi"/>
          <w:b/>
          <w:bCs/>
          <w:sz w:val="28"/>
          <w:szCs w:val="28"/>
          <w:lang w:val="de-AT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de-AT"/>
        </w:rPr>
        <w:t xml:space="preserve">Wien: </w:t>
      </w:r>
      <w:r w:rsidR="00340BB7">
        <w:rPr>
          <w:rFonts w:asciiTheme="majorHAnsi" w:hAnsiTheme="majorHAnsi" w:cstheme="majorHAnsi"/>
          <w:b/>
          <w:bCs/>
          <w:sz w:val="28"/>
          <w:szCs w:val="28"/>
          <w:lang w:val="de-AT"/>
        </w:rPr>
        <w:t>1,1 Mio. Nächtigungen im Februar, Jänner-Umsatz bei 69,1 Mio. Euro</w:t>
      </w:r>
    </w:p>
    <w:p w14:paraId="32468BA5" w14:textId="77777777" w:rsidR="00D75CF6" w:rsidRDefault="00D75CF6" w:rsidP="00D75CF6">
      <w:pPr>
        <w:ind w:firstLine="0"/>
        <w:jc w:val="left"/>
        <w:rPr>
          <w:rFonts w:asciiTheme="majorHAnsi" w:hAnsiTheme="majorHAnsi" w:cstheme="majorHAnsi"/>
          <w:b/>
          <w:bCs/>
          <w:szCs w:val="21"/>
          <w:lang w:val="de-AT"/>
        </w:rPr>
      </w:pPr>
    </w:p>
    <w:p w14:paraId="576810AE" w14:textId="108ED502" w:rsidR="00D75CF6" w:rsidRDefault="0087741F" w:rsidP="00D75CF6">
      <w:pPr>
        <w:ind w:firstLine="0"/>
        <w:jc w:val="left"/>
        <w:rPr>
          <w:rFonts w:asciiTheme="majorHAnsi" w:hAnsiTheme="majorHAnsi" w:cstheme="majorHAnsi"/>
          <w:b/>
          <w:bCs/>
          <w:i/>
          <w:iCs/>
          <w:szCs w:val="21"/>
          <w:lang w:val="de-AT"/>
        </w:rPr>
      </w:pPr>
      <w:r w:rsidRPr="00AE62E4">
        <w:rPr>
          <w:rFonts w:asciiTheme="majorHAnsi" w:hAnsiTheme="majorHAnsi" w:cstheme="majorHAnsi"/>
          <w:b/>
          <w:bCs/>
          <w:i/>
          <w:iCs/>
          <w:szCs w:val="21"/>
          <w:lang w:val="de-AT"/>
        </w:rPr>
        <w:t>24</w:t>
      </w:r>
      <w:r w:rsidR="00D75CF6" w:rsidRPr="00AE62E4">
        <w:rPr>
          <w:rFonts w:asciiTheme="majorHAnsi" w:hAnsiTheme="majorHAnsi" w:cstheme="majorHAnsi"/>
          <w:b/>
          <w:bCs/>
          <w:i/>
          <w:iCs/>
          <w:szCs w:val="21"/>
          <w:lang w:val="de-AT"/>
        </w:rPr>
        <w:t>.03.2025</w:t>
      </w:r>
      <w:r w:rsidR="00D75CF6">
        <w:rPr>
          <w:rFonts w:asciiTheme="majorHAnsi" w:hAnsiTheme="majorHAnsi" w:cstheme="majorHAnsi"/>
          <w:b/>
          <w:bCs/>
          <w:i/>
          <w:iCs/>
          <w:szCs w:val="21"/>
          <w:lang w:val="de-AT"/>
        </w:rPr>
        <w:t xml:space="preserve"> – </w:t>
      </w:r>
      <w:r w:rsidR="00340BB7">
        <w:rPr>
          <w:rFonts w:asciiTheme="majorHAnsi" w:hAnsiTheme="majorHAnsi" w:cstheme="majorHAnsi"/>
          <w:b/>
          <w:bCs/>
          <w:i/>
          <w:iCs/>
          <w:szCs w:val="21"/>
        </w:rPr>
        <w:t xml:space="preserve">Der heurige </w:t>
      </w:r>
      <w:r w:rsidR="009F549C">
        <w:rPr>
          <w:rFonts w:asciiTheme="majorHAnsi" w:hAnsiTheme="majorHAnsi" w:cstheme="majorHAnsi"/>
          <w:b/>
          <w:bCs/>
          <w:i/>
          <w:iCs/>
          <w:szCs w:val="21"/>
        </w:rPr>
        <w:t xml:space="preserve">Februar erreichte mit rund 1,1 Millionen Nächtigungen ein Plus von 6% im Vergleich zum Vorjahr. </w:t>
      </w:r>
      <w:r w:rsidR="00E14459">
        <w:rPr>
          <w:rFonts w:asciiTheme="majorHAnsi" w:hAnsiTheme="majorHAnsi" w:cstheme="majorHAnsi"/>
          <w:b/>
          <w:bCs/>
          <w:i/>
          <w:iCs/>
          <w:szCs w:val="21"/>
        </w:rPr>
        <w:t>Seit Jahresbeginn</w:t>
      </w:r>
      <w:r w:rsidR="009F549C">
        <w:rPr>
          <w:rFonts w:asciiTheme="majorHAnsi" w:hAnsiTheme="majorHAnsi" w:cstheme="majorHAnsi"/>
          <w:b/>
          <w:bCs/>
          <w:i/>
          <w:iCs/>
          <w:szCs w:val="21"/>
        </w:rPr>
        <w:t xml:space="preserve"> wurden rund 2,2 Millionen</w:t>
      </w:r>
      <w:r w:rsidR="0072458E">
        <w:rPr>
          <w:rFonts w:asciiTheme="majorHAnsi" w:hAnsiTheme="majorHAnsi" w:cstheme="majorHAnsi"/>
          <w:b/>
          <w:bCs/>
          <w:i/>
          <w:iCs/>
          <w:szCs w:val="21"/>
        </w:rPr>
        <w:t xml:space="preserve"> </w:t>
      </w:r>
      <w:r w:rsidR="009F549C" w:rsidRPr="00523575">
        <w:rPr>
          <w:rFonts w:asciiTheme="majorHAnsi" w:hAnsiTheme="majorHAnsi" w:cstheme="majorHAnsi"/>
          <w:b/>
          <w:bCs/>
          <w:i/>
          <w:iCs/>
          <w:szCs w:val="21"/>
        </w:rPr>
        <w:t>Gästenächtigunge</w:t>
      </w:r>
      <w:r w:rsidR="00605AE2" w:rsidRPr="00523575">
        <w:rPr>
          <w:rFonts w:asciiTheme="majorHAnsi" w:hAnsiTheme="majorHAnsi" w:cstheme="majorHAnsi"/>
          <w:b/>
          <w:bCs/>
          <w:i/>
          <w:iCs/>
          <w:szCs w:val="21"/>
        </w:rPr>
        <w:t xml:space="preserve">n </w:t>
      </w:r>
      <w:r w:rsidR="00523575" w:rsidRPr="00523575">
        <w:rPr>
          <w:rFonts w:asciiTheme="majorHAnsi" w:hAnsiTheme="majorHAnsi" w:cstheme="majorHAnsi"/>
          <w:b/>
          <w:bCs/>
          <w:i/>
          <w:iCs/>
          <w:szCs w:val="21"/>
        </w:rPr>
        <w:t>in Wien gezählt</w:t>
      </w:r>
      <w:r w:rsidR="009F549C">
        <w:rPr>
          <w:rFonts w:asciiTheme="majorHAnsi" w:hAnsiTheme="majorHAnsi" w:cstheme="majorHAnsi"/>
          <w:b/>
          <w:bCs/>
          <w:i/>
          <w:iCs/>
          <w:szCs w:val="21"/>
        </w:rPr>
        <w:t xml:space="preserve">. </w:t>
      </w:r>
      <w:r w:rsidR="00E14459">
        <w:rPr>
          <w:rFonts w:asciiTheme="majorHAnsi" w:hAnsiTheme="majorHAnsi" w:cstheme="majorHAnsi"/>
          <w:b/>
          <w:bCs/>
          <w:i/>
          <w:iCs/>
          <w:szCs w:val="21"/>
        </w:rPr>
        <w:t xml:space="preserve">Der Netto-Nächtigungsumsatz der Beherbergungsbetriebe betrug im </w:t>
      </w:r>
      <w:r w:rsidR="00AD0562">
        <w:rPr>
          <w:rFonts w:asciiTheme="majorHAnsi" w:hAnsiTheme="majorHAnsi" w:cstheme="majorHAnsi"/>
          <w:b/>
          <w:bCs/>
          <w:i/>
          <w:iCs/>
          <w:szCs w:val="21"/>
        </w:rPr>
        <w:t>J</w:t>
      </w:r>
      <w:r w:rsidR="00E14459">
        <w:rPr>
          <w:rFonts w:asciiTheme="majorHAnsi" w:hAnsiTheme="majorHAnsi" w:cstheme="majorHAnsi"/>
          <w:b/>
          <w:bCs/>
          <w:i/>
          <w:iCs/>
          <w:szCs w:val="21"/>
        </w:rPr>
        <w:t>änner rund 69,1 Millionen Euro und l</w:t>
      </w:r>
      <w:r w:rsidR="00D64148">
        <w:rPr>
          <w:rFonts w:asciiTheme="majorHAnsi" w:hAnsiTheme="majorHAnsi" w:cstheme="majorHAnsi"/>
          <w:b/>
          <w:bCs/>
          <w:i/>
          <w:iCs/>
          <w:szCs w:val="21"/>
        </w:rPr>
        <w:t>a</w:t>
      </w:r>
      <w:r w:rsidR="00E14459">
        <w:rPr>
          <w:rFonts w:asciiTheme="majorHAnsi" w:hAnsiTheme="majorHAnsi" w:cstheme="majorHAnsi"/>
          <w:b/>
          <w:bCs/>
          <w:i/>
          <w:iCs/>
          <w:szCs w:val="21"/>
        </w:rPr>
        <w:t>g damit um 1% über dem Vorjahr.</w:t>
      </w:r>
    </w:p>
    <w:p w14:paraId="4F4C7B9B" w14:textId="5ACF12F3" w:rsidR="00C45193" w:rsidRDefault="00C45193" w:rsidP="00D75CF6">
      <w:pPr>
        <w:ind w:firstLine="0"/>
        <w:rPr>
          <w:lang w:val="de-AT"/>
        </w:rPr>
      </w:pPr>
    </w:p>
    <w:p w14:paraId="5B971744" w14:textId="0A6097E5" w:rsidR="00D75CF6" w:rsidRDefault="00D64148" w:rsidP="00D75CF6">
      <w:pPr>
        <w:ind w:firstLine="0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  <w:lang w:val="de-AT"/>
        </w:rPr>
        <w:t>Den Februar 202</w:t>
      </w:r>
      <w:r w:rsidR="00A23DD8">
        <w:rPr>
          <w:rFonts w:asciiTheme="majorHAnsi" w:hAnsiTheme="majorHAnsi" w:cstheme="majorHAnsi"/>
          <w:szCs w:val="21"/>
          <w:lang w:val="de-AT"/>
        </w:rPr>
        <w:t>5</w:t>
      </w:r>
      <w:r>
        <w:rPr>
          <w:rFonts w:asciiTheme="majorHAnsi" w:hAnsiTheme="majorHAnsi" w:cstheme="majorHAnsi"/>
          <w:szCs w:val="21"/>
          <w:lang w:val="de-AT"/>
        </w:rPr>
        <w:t xml:space="preserve"> schloss Wien mit </w:t>
      </w:r>
      <w:r w:rsidRPr="00D64148">
        <w:rPr>
          <w:rFonts w:asciiTheme="majorHAnsi" w:hAnsiTheme="majorHAnsi" w:cstheme="majorHAnsi"/>
          <w:szCs w:val="21"/>
          <w:lang w:val="de-AT"/>
        </w:rPr>
        <w:t>1.079.000</w:t>
      </w:r>
      <w:r>
        <w:rPr>
          <w:rFonts w:asciiTheme="majorHAnsi" w:hAnsiTheme="majorHAnsi" w:cstheme="majorHAnsi"/>
          <w:szCs w:val="21"/>
          <w:lang w:val="de-AT"/>
        </w:rPr>
        <w:t xml:space="preserve"> Nächtigungen und einem Plus von 6% zum Vergleichsmonat 202</w:t>
      </w:r>
      <w:r w:rsidR="00A23DD8">
        <w:rPr>
          <w:rFonts w:asciiTheme="majorHAnsi" w:hAnsiTheme="majorHAnsi" w:cstheme="majorHAnsi"/>
          <w:szCs w:val="21"/>
          <w:lang w:val="de-AT"/>
        </w:rPr>
        <w:t>4</w:t>
      </w:r>
      <w:r>
        <w:rPr>
          <w:rFonts w:asciiTheme="majorHAnsi" w:hAnsiTheme="majorHAnsi" w:cstheme="majorHAnsi"/>
          <w:szCs w:val="21"/>
          <w:lang w:val="de-AT"/>
        </w:rPr>
        <w:t xml:space="preserve"> ab. Im bisherigen Jahresverlauf verzeichnete die Bundeshauptstadt </w:t>
      </w:r>
      <w:r w:rsidR="00FD2630">
        <w:rPr>
          <w:rFonts w:asciiTheme="majorHAnsi" w:hAnsiTheme="majorHAnsi" w:cstheme="majorHAnsi"/>
          <w:szCs w:val="21"/>
        </w:rPr>
        <w:t>2.202.000 Übernachtungen</w:t>
      </w:r>
      <w:r w:rsidR="00FD2630" w:rsidRPr="00FD2630">
        <w:rPr>
          <w:rFonts w:asciiTheme="majorHAnsi" w:hAnsiTheme="majorHAnsi" w:cstheme="majorHAnsi"/>
          <w:szCs w:val="21"/>
        </w:rPr>
        <w:t xml:space="preserve"> – das bedeutet einen Zuwachs von </w:t>
      </w:r>
      <w:r w:rsidR="00FD2630">
        <w:rPr>
          <w:rFonts w:asciiTheme="majorHAnsi" w:hAnsiTheme="majorHAnsi" w:cstheme="majorHAnsi"/>
          <w:szCs w:val="21"/>
        </w:rPr>
        <w:t>9</w:t>
      </w:r>
      <w:r w:rsidR="00FD2630" w:rsidRPr="00FD2630">
        <w:rPr>
          <w:rFonts w:asciiTheme="majorHAnsi" w:hAnsiTheme="majorHAnsi" w:cstheme="majorHAnsi"/>
          <w:szCs w:val="21"/>
        </w:rPr>
        <w:t>% zum Vergleichszeitraum des Vorjahres. </w:t>
      </w:r>
      <w:r w:rsidR="00DB1E31">
        <w:rPr>
          <w:rFonts w:asciiTheme="majorHAnsi" w:hAnsiTheme="majorHAnsi" w:cstheme="majorHAnsi"/>
          <w:szCs w:val="21"/>
        </w:rPr>
        <w:t>M</w:t>
      </w:r>
      <w:r w:rsidR="00DB1E31" w:rsidRPr="00DB1E31">
        <w:rPr>
          <w:rFonts w:asciiTheme="majorHAnsi" w:hAnsiTheme="majorHAnsi" w:cstheme="majorHAnsi"/>
          <w:szCs w:val="21"/>
        </w:rPr>
        <w:t xml:space="preserve">it </w:t>
      </w:r>
      <w:r w:rsidR="00DB1E31">
        <w:rPr>
          <w:rFonts w:ascii="Arial" w:hAnsi="Arial" w:cs="Arial"/>
          <w:color w:val="000000"/>
        </w:rPr>
        <w:t xml:space="preserve">213.000 </w:t>
      </w:r>
      <w:r w:rsidR="00DB1E31" w:rsidRPr="00DB1E31">
        <w:rPr>
          <w:rFonts w:asciiTheme="majorHAnsi" w:hAnsiTheme="majorHAnsi" w:cstheme="majorHAnsi"/>
          <w:szCs w:val="21"/>
        </w:rPr>
        <w:t>Übernachtungen (</w:t>
      </w:r>
      <w:r w:rsidR="00DB1E31">
        <w:rPr>
          <w:rFonts w:asciiTheme="majorHAnsi" w:hAnsiTheme="majorHAnsi" w:cstheme="majorHAnsi"/>
          <w:szCs w:val="21"/>
        </w:rPr>
        <w:t>-5</w:t>
      </w:r>
      <w:r w:rsidR="00DB1E31" w:rsidRPr="00DB1E31">
        <w:rPr>
          <w:rFonts w:asciiTheme="majorHAnsi" w:hAnsiTheme="majorHAnsi" w:cstheme="majorHAnsi"/>
          <w:szCs w:val="21"/>
        </w:rPr>
        <w:t>%) im Februar führt Österreich die Liste der Top-10-Märkte im bisherigen Jahresverlauf an</w:t>
      </w:r>
      <w:r w:rsidR="00DB1E31">
        <w:rPr>
          <w:rFonts w:asciiTheme="majorHAnsi" w:hAnsiTheme="majorHAnsi" w:cstheme="majorHAnsi"/>
          <w:szCs w:val="21"/>
        </w:rPr>
        <w:t>, gefolgt von Deutschland (153.000, -7%), Italien (64.000, +10%), den USA (40.000, +7%), Großbritannien (45.000, +4%), Spanien (36.000, +8%), Frankreich (34.000, +3%), Polen (36.000, +39%), der Ukraine (24.000, +41%) und Rumänien (23.000, +5%).</w:t>
      </w:r>
    </w:p>
    <w:p w14:paraId="17372267" w14:textId="77777777" w:rsidR="00C4708A" w:rsidRDefault="00C4708A" w:rsidP="00D75CF6">
      <w:pPr>
        <w:ind w:firstLine="0"/>
        <w:rPr>
          <w:rFonts w:asciiTheme="majorHAnsi" w:hAnsiTheme="majorHAnsi" w:cstheme="majorHAnsi"/>
          <w:szCs w:val="21"/>
        </w:rPr>
      </w:pPr>
    </w:p>
    <w:p w14:paraId="035AF13F" w14:textId="00E2D414" w:rsidR="001D0942" w:rsidRDefault="00C4708A" w:rsidP="00D75CF6">
      <w:pPr>
        <w:ind w:firstLine="0"/>
        <w:rPr>
          <w:rFonts w:ascii="Arial" w:hAnsi="Arial" w:cs="Arial"/>
          <w:color w:val="000000"/>
        </w:rPr>
      </w:pPr>
      <w:r>
        <w:rPr>
          <w:rFonts w:asciiTheme="majorHAnsi" w:hAnsiTheme="majorHAnsi" w:cstheme="majorHAnsi"/>
          <w:szCs w:val="21"/>
        </w:rPr>
        <w:t xml:space="preserve">Der Netto-Nächtigungsumsatz von Wiens Beherbergungsbetrieben betrug im Jänner </w:t>
      </w:r>
      <w:r>
        <w:rPr>
          <w:rFonts w:ascii="Arial" w:hAnsi="Arial" w:cs="Arial"/>
          <w:color w:val="000000"/>
        </w:rPr>
        <w:t xml:space="preserve">69.120.000 </w:t>
      </w:r>
      <w:r w:rsidR="00EE61C7">
        <w:rPr>
          <w:rFonts w:ascii="Arial" w:hAnsi="Arial" w:cs="Arial"/>
          <w:color w:val="000000"/>
        </w:rPr>
        <w:t xml:space="preserve">Euro </w:t>
      </w:r>
      <w:r>
        <w:rPr>
          <w:rFonts w:ascii="Arial" w:hAnsi="Arial" w:cs="Arial"/>
          <w:color w:val="000000"/>
        </w:rPr>
        <w:t>– das entspricht einem Plus von 1% zum Vergleichsmonat 2024. Die durchschnittliche Auslastung der Hotelzimmer betrug im Februar rund 52% (2/2024: rd</w:t>
      </w:r>
      <w:r w:rsidR="00E8183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52%), jene der Betten 40% (2/2024: 39,7%)</w:t>
      </w:r>
      <w:r w:rsidR="0055776B">
        <w:rPr>
          <w:rFonts w:ascii="Arial" w:hAnsi="Arial" w:cs="Arial"/>
          <w:color w:val="000000"/>
        </w:rPr>
        <w:t>. Im bisherigen Jahresverlauf (Jänner bis Februar) lag die Zimmerauslastung bei rund 50% (1-2/2024: rd</w:t>
      </w:r>
      <w:r w:rsidR="00E81837">
        <w:rPr>
          <w:rFonts w:ascii="Arial" w:hAnsi="Arial" w:cs="Arial"/>
          <w:color w:val="000000"/>
        </w:rPr>
        <w:t>.</w:t>
      </w:r>
      <w:r w:rsidR="0055776B">
        <w:rPr>
          <w:rFonts w:ascii="Arial" w:hAnsi="Arial" w:cs="Arial"/>
          <w:color w:val="000000"/>
        </w:rPr>
        <w:t xml:space="preserve"> </w:t>
      </w:r>
      <w:r w:rsidR="00C1166B">
        <w:rPr>
          <w:rFonts w:ascii="Arial" w:hAnsi="Arial" w:cs="Arial"/>
          <w:color w:val="000000"/>
        </w:rPr>
        <w:t>49</w:t>
      </w:r>
      <w:r w:rsidR="0055776B">
        <w:rPr>
          <w:rFonts w:ascii="Arial" w:hAnsi="Arial" w:cs="Arial"/>
          <w:color w:val="000000"/>
        </w:rPr>
        <w:t xml:space="preserve">%), die Bettenauslastung bei 38,7% (1-2/2024: 38%). Insgesamt waren im Februar </w:t>
      </w:r>
      <w:r w:rsidR="005D458C">
        <w:rPr>
          <w:rFonts w:ascii="Arial" w:hAnsi="Arial" w:cs="Arial"/>
          <w:color w:val="000000"/>
        </w:rPr>
        <w:t>rund</w:t>
      </w:r>
      <w:r w:rsidR="0055776B">
        <w:rPr>
          <w:rFonts w:ascii="Arial" w:hAnsi="Arial" w:cs="Arial"/>
          <w:color w:val="000000"/>
        </w:rPr>
        <w:t xml:space="preserve"> 79.500 Hotelbetten in Wien verfügbar – das waren um </w:t>
      </w:r>
      <w:r w:rsidR="005D458C">
        <w:rPr>
          <w:rFonts w:ascii="Arial" w:hAnsi="Arial" w:cs="Arial"/>
          <w:color w:val="000000"/>
        </w:rPr>
        <w:t>etwa</w:t>
      </w:r>
      <w:r w:rsidR="002F16BD">
        <w:rPr>
          <w:rFonts w:ascii="Arial" w:hAnsi="Arial" w:cs="Arial"/>
          <w:color w:val="000000"/>
        </w:rPr>
        <w:t xml:space="preserve"> </w:t>
      </w:r>
      <w:r w:rsidR="0055776B">
        <w:rPr>
          <w:rFonts w:ascii="Arial" w:hAnsi="Arial" w:cs="Arial"/>
          <w:color w:val="000000"/>
        </w:rPr>
        <w:t>6.400 Betten (+8,7%) mehr, als im Februar 2024 angeboten wurden.</w:t>
      </w:r>
    </w:p>
    <w:p w14:paraId="50D4EE54" w14:textId="77777777" w:rsidR="001D0942" w:rsidRDefault="001D0942" w:rsidP="00D75CF6">
      <w:pPr>
        <w:ind w:firstLine="0"/>
        <w:rPr>
          <w:rFonts w:ascii="Arial" w:hAnsi="Arial" w:cs="Arial"/>
          <w:color w:val="000000"/>
        </w:rPr>
      </w:pPr>
    </w:p>
    <w:p w14:paraId="6DFBC21A" w14:textId="1C4C2C1A" w:rsidR="001D0942" w:rsidRPr="00FD2568" w:rsidRDefault="001D0942" w:rsidP="001D0942">
      <w:pPr>
        <w:ind w:firstLine="0"/>
        <w:rPr>
          <w:rFonts w:ascii="Arial" w:hAnsi="Arial" w:cs="Arial"/>
          <w:b/>
          <w:color w:val="000000"/>
          <w:lang w:val="de-AT"/>
        </w:rPr>
      </w:pPr>
      <w:r w:rsidRPr="001D0942">
        <w:rPr>
          <w:rFonts w:ascii="Arial" w:hAnsi="Arial" w:cs="Arial"/>
          <w:b/>
          <w:color w:val="000000"/>
          <w:lang w:val="de-AT"/>
        </w:rPr>
        <w:t>Diese Medien-Info inkl. Tabelle als Word-File zum Download finden Sie </w:t>
      </w:r>
      <w:hyperlink r:id="rId8" w:history="1">
        <w:r w:rsidRPr="00B912D7">
          <w:rPr>
            <w:rStyle w:val="Hyperlink"/>
            <w:rFonts w:ascii="Arial" w:hAnsi="Arial" w:cs="Arial"/>
            <w:b/>
            <w:lang w:val="de-AT"/>
          </w:rPr>
          <w:t>hier</w:t>
        </w:r>
      </w:hyperlink>
      <w:r w:rsidRPr="001D0942">
        <w:rPr>
          <w:rFonts w:ascii="Arial" w:hAnsi="Arial" w:cs="Arial"/>
          <w:b/>
          <w:color w:val="000000"/>
          <w:lang w:val="de-AT"/>
        </w:rPr>
        <w:t>.</w:t>
      </w:r>
    </w:p>
    <w:p w14:paraId="1D29677F" w14:textId="77777777" w:rsidR="001D0942" w:rsidRPr="001D0942" w:rsidRDefault="001D0942" w:rsidP="001D0942">
      <w:pPr>
        <w:ind w:firstLine="0"/>
        <w:rPr>
          <w:rFonts w:ascii="Arial" w:hAnsi="Arial" w:cs="Arial"/>
          <w:color w:val="000000"/>
          <w:lang w:val="de-AT"/>
        </w:rPr>
      </w:pPr>
    </w:p>
    <w:p w14:paraId="6E525F45" w14:textId="77777777" w:rsidR="001D0942" w:rsidRPr="001D0942" w:rsidRDefault="001D0942" w:rsidP="001D0942">
      <w:pPr>
        <w:ind w:firstLine="0"/>
        <w:rPr>
          <w:rFonts w:ascii="Arial" w:hAnsi="Arial" w:cs="Arial"/>
          <w:color w:val="000000"/>
          <w:lang w:val="de-AT"/>
        </w:rPr>
      </w:pPr>
      <w:r w:rsidRPr="001D0942">
        <w:rPr>
          <w:rFonts w:ascii="Arial" w:hAnsi="Arial" w:cs="Arial"/>
          <w:color w:val="000000"/>
          <w:lang w:val="de-AT"/>
        </w:rPr>
        <w:t>Die aktuellen Kennzahlen in vollem Umfang für sämtliche erhobene Herkunftsmärkte erhalten Sie unter: </w:t>
      </w:r>
      <w:hyperlink r:id="rId9" w:tgtFrame="_blank" w:history="1">
        <w:r w:rsidRPr="001D0942">
          <w:rPr>
            <w:rStyle w:val="Hyperlink"/>
            <w:rFonts w:ascii="Arial" w:hAnsi="Arial" w:cs="Arial"/>
            <w:lang w:val="de-AT"/>
          </w:rPr>
          <w:t>https://b2b.wien.info/de/statistik/daten/statistik-aktuell</w:t>
        </w:r>
      </w:hyperlink>
    </w:p>
    <w:p w14:paraId="7046F2CC" w14:textId="0A314C29" w:rsidR="00C4708A" w:rsidRDefault="00C4708A" w:rsidP="00D75CF6">
      <w:pPr>
        <w:ind w:firstLine="0"/>
        <w:rPr>
          <w:rFonts w:ascii="Arial" w:hAnsi="Arial" w:cs="Arial"/>
          <w:color w:val="000000"/>
        </w:rPr>
      </w:pPr>
    </w:p>
    <w:p w14:paraId="5A18C38B" w14:textId="031288F9" w:rsidR="00FD2568" w:rsidRDefault="00FD2568">
      <w:pPr>
        <w:spacing w:line="240" w:lineRule="auto"/>
        <w:ind w:firstLine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pPr w:leftFromText="141" w:rightFromText="141" w:vertAnchor="text" w:tblpY="1"/>
        <w:tblOverlap w:val="never"/>
        <w:tblW w:w="8287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560"/>
        <w:gridCol w:w="1128"/>
        <w:gridCol w:w="1423"/>
        <w:gridCol w:w="1276"/>
      </w:tblGrid>
      <w:tr w:rsidR="00FD2568" w:rsidRPr="00FD2568" w14:paraId="1B02BB82" w14:textId="77777777" w:rsidTr="00166971">
        <w:trPr>
          <w:trHeight w:val="270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A4C8873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FD2568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lastRenderedPageBreak/>
              <w:t>Herkunftsland</w:t>
            </w:r>
          </w:p>
        </w:tc>
        <w:tc>
          <w:tcPr>
            <w:tcW w:w="2688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51B79CC" w14:textId="77777777" w:rsidR="00FD2568" w:rsidRPr="00FD2568" w:rsidRDefault="00FD2568" w:rsidP="00FD2568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val="de-AT" w:eastAsia="zh-CN" w:bidi="th-TH"/>
              </w:rPr>
            </w:pPr>
            <w:r w:rsidRPr="00FD2568"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eastAsia="zh-CN" w:bidi="th-TH"/>
              </w:rPr>
              <w:t>Nächtigungen</w:t>
            </w:r>
            <w:r w:rsidRPr="00FD2568"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vertAlign w:val="superscript"/>
                <w:lang w:eastAsia="zh-CN" w:bidi="th-TH"/>
              </w:rPr>
              <w:t>1)</w:t>
            </w:r>
          </w:p>
        </w:tc>
        <w:tc>
          <w:tcPr>
            <w:tcW w:w="2699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1C4EAB" w14:textId="77777777" w:rsidR="00FD2568" w:rsidRPr="00FD2568" w:rsidRDefault="00FD2568" w:rsidP="00FD2568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val="de-AT" w:eastAsia="zh-CN" w:bidi="th-TH"/>
              </w:rPr>
            </w:pPr>
          </w:p>
        </w:tc>
      </w:tr>
      <w:tr w:rsidR="00FD2568" w:rsidRPr="00FD2568" w14:paraId="478664DF" w14:textId="77777777" w:rsidTr="00166971">
        <w:trPr>
          <w:trHeight w:val="285"/>
        </w:trPr>
        <w:tc>
          <w:tcPr>
            <w:tcW w:w="2900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2E02558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0586DE" w14:textId="77777777" w:rsidR="00FD2568" w:rsidRPr="00FD2568" w:rsidRDefault="00FD2568" w:rsidP="00FD2568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Jänner-Februar 2025</w:t>
            </w:r>
          </w:p>
        </w:tc>
        <w:tc>
          <w:tcPr>
            <w:tcW w:w="2699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B13F40C" w14:textId="77777777" w:rsidR="00FD2568" w:rsidRPr="00FD2568" w:rsidRDefault="00FD2568" w:rsidP="00FD2568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Februar 2025</w:t>
            </w:r>
          </w:p>
        </w:tc>
      </w:tr>
      <w:tr w:rsidR="00FD2568" w:rsidRPr="00FD2568" w14:paraId="65FA3131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9D8AA3D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val="de-AT" w:eastAsia="de-AT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Österreich</w:t>
            </w:r>
          </w:p>
        </w:tc>
        <w:tc>
          <w:tcPr>
            <w:tcW w:w="156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0796DD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415.000</w:t>
            </w:r>
          </w:p>
        </w:tc>
        <w:tc>
          <w:tcPr>
            <w:tcW w:w="1128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63378AC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- 5 %</w:t>
            </w:r>
          </w:p>
        </w:tc>
        <w:tc>
          <w:tcPr>
            <w:tcW w:w="1423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FA936E6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213.000</w:t>
            </w:r>
          </w:p>
        </w:tc>
        <w:tc>
          <w:tcPr>
            <w:tcW w:w="1276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9ABFC48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- 5 %</w:t>
            </w:r>
          </w:p>
        </w:tc>
      </w:tr>
      <w:tr w:rsidR="00FD2568" w:rsidRPr="00FD2568" w14:paraId="3D07F615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A3E193D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Deutschland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5B1D5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308.000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18166D4" w14:textId="41201484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</w:t>
            </w:r>
            <w:r w:rsidR="002D162C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/-</w:t>
            </w: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 xml:space="preserve"> 0 %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C528CC9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153.000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5EFD695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- 7 %</w:t>
            </w:r>
          </w:p>
        </w:tc>
      </w:tr>
      <w:tr w:rsidR="00FD2568" w:rsidRPr="00FD2568" w14:paraId="311BE851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78694E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Italien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76CC1D5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154.000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254E2D2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D8E4EFB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64.000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778D1F8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</w:tr>
      <w:tr w:rsidR="00FD2568" w:rsidRPr="00FD2568" w14:paraId="01286DE7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6AC415F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USA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9549A19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89.000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DA8A0F3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9336B62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AB780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+ 7 %</w:t>
            </w:r>
          </w:p>
        </w:tc>
      </w:tr>
      <w:tr w:rsidR="00FD2568" w:rsidRPr="00FD2568" w14:paraId="64D244C4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70CE3BB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Großbritannien, Nordirland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48921E1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83.000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E56268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9FD11AC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45.000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C9BECA4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+ 4 %</w:t>
            </w:r>
          </w:p>
        </w:tc>
      </w:tr>
      <w:tr w:rsidR="00FD2568" w:rsidRPr="00FD2568" w14:paraId="11C59C7B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1A4F056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Spanien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FA50AFA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78.000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9A2FCD9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CCAFD7A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36.000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6B19B1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</w:tr>
      <w:tr w:rsidR="00FD2568" w:rsidRPr="00FD2568" w14:paraId="4C8AC9DA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510D3DA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Frankreich, Monaco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19C42BD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64.000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B91FC1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30419D0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34.000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F5F0D38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+ 3 %</w:t>
            </w:r>
          </w:p>
        </w:tc>
      </w:tr>
      <w:tr w:rsidR="00FD2568" w:rsidRPr="00FD2568" w14:paraId="0D9C3E64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36E85FE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Polen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21713ED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63.000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A643CD9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+ 28 %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27F0AD4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36.000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ECF311F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+ 39 %</w:t>
            </w:r>
          </w:p>
        </w:tc>
      </w:tr>
      <w:tr w:rsidR="00FD2568" w:rsidRPr="00FD2568" w14:paraId="43983A85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E124AC9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Ukraine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ECBCD4C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56.000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8FB300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+ 44 %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2D2F165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24.000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183AD32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+ 41 %</w:t>
            </w:r>
          </w:p>
        </w:tc>
      </w:tr>
      <w:tr w:rsidR="00FD2568" w:rsidRPr="00FD2568" w14:paraId="3E50F4F6" w14:textId="77777777" w:rsidTr="00166971">
        <w:trPr>
          <w:trHeight w:val="248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209D49C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Rumänien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E2E4BC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11DC260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+ 24 %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DB68F61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23.000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FA7400D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+ 5 %</w:t>
            </w:r>
          </w:p>
        </w:tc>
      </w:tr>
      <w:tr w:rsidR="00FD2568" w:rsidRPr="00FD2568" w14:paraId="7039D1A7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2D24AB9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Übrige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896E61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841.000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5C4A8A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EA47F0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411.000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7AA02CB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6351E6DB" w14:textId="77777777" w:rsidTr="00166971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2CDE70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Gesamtergebnis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5E68BF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2.202.000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1E53D2F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+ 9 %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68E6B9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1.079.000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D683F51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+ 6 %</w:t>
            </w:r>
          </w:p>
        </w:tc>
      </w:tr>
      <w:tr w:rsidR="00FD2568" w:rsidRPr="00FD2568" w14:paraId="7931CAAF" w14:textId="77777777" w:rsidTr="00166971">
        <w:trPr>
          <w:trHeight w:val="321"/>
        </w:trPr>
        <w:tc>
          <w:tcPr>
            <w:tcW w:w="8287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581256FE" w14:textId="77777777" w:rsidR="00FD2568" w:rsidRPr="00FD2568" w:rsidRDefault="00FD2568" w:rsidP="00FD256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1) Nächtigungen sind nicht Gäste, sondern die von diesen absolvierten Übernachtungen. </w:t>
            </w:r>
          </w:p>
          <w:p w14:paraId="52A03CA4" w14:textId="77777777" w:rsidR="00FD2568" w:rsidRPr="00FD2568" w:rsidRDefault="00FD2568" w:rsidP="00FD256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Bei den Daten für Februar handelt es sich um vorläufige Daten.</w:t>
            </w:r>
          </w:p>
          <w:p w14:paraId="68434EC5" w14:textId="04919A76" w:rsidR="00FD2568" w:rsidRPr="00FD2568" w:rsidRDefault="00FD2568" w:rsidP="00FD256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Datenquelle:</w:t>
            </w:r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MA 23 – Dezernat Statistik</w:t>
            </w:r>
          </w:p>
        </w:tc>
      </w:tr>
    </w:tbl>
    <w:p w14:paraId="791D6F9A" w14:textId="77777777" w:rsidR="00FD2568" w:rsidRDefault="00FD2568" w:rsidP="00FD2568">
      <w:pPr>
        <w:ind w:firstLine="0"/>
        <w:rPr>
          <w:lang w:val="de-AT"/>
        </w:rPr>
      </w:pPr>
    </w:p>
    <w:p w14:paraId="5C09D1B5" w14:textId="77777777" w:rsidR="00FD2568" w:rsidRDefault="00FD2568" w:rsidP="00FD2568">
      <w:pPr>
        <w:ind w:firstLine="0"/>
        <w:rPr>
          <w:lang w:val="de-AT"/>
        </w:rPr>
      </w:pPr>
    </w:p>
    <w:p w14:paraId="5B84112A" w14:textId="77777777" w:rsidR="00FD2568" w:rsidRDefault="00FD2568" w:rsidP="00FD2568">
      <w:pPr>
        <w:ind w:firstLine="0"/>
        <w:rPr>
          <w:lang w:val="de-AT"/>
        </w:rPr>
      </w:pPr>
    </w:p>
    <w:p w14:paraId="5270DE60" w14:textId="77777777" w:rsidR="00FD2568" w:rsidRDefault="00FD2568" w:rsidP="00FD2568">
      <w:pPr>
        <w:ind w:firstLine="0"/>
        <w:rPr>
          <w:lang w:val="de-AT"/>
        </w:rPr>
      </w:pPr>
    </w:p>
    <w:p w14:paraId="2F795827" w14:textId="77777777" w:rsidR="00FD2568" w:rsidRDefault="00FD2568" w:rsidP="00FD2568">
      <w:pPr>
        <w:ind w:firstLine="0"/>
        <w:rPr>
          <w:lang w:val="de-AT"/>
        </w:rPr>
      </w:pPr>
    </w:p>
    <w:p w14:paraId="3B70A12D" w14:textId="77777777" w:rsidR="00FD2568" w:rsidRDefault="00FD2568" w:rsidP="00FD2568">
      <w:pPr>
        <w:ind w:firstLine="0"/>
        <w:rPr>
          <w:lang w:val="de-AT"/>
        </w:rPr>
      </w:pPr>
    </w:p>
    <w:p w14:paraId="48F13C6C" w14:textId="77777777" w:rsidR="00FD2568" w:rsidRDefault="00FD2568" w:rsidP="00FD2568">
      <w:pPr>
        <w:ind w:firstLine="0"/>
        <w:rPr>
          <w:lang w:val="de-AT"/>
        </w:rPr>
      </w:pPr>
    </w:p>
    <w:p w14:paraId="67B9FF28" w14:textId="77777777" w:rsidR="00FD2568" w:rsidRDefault="00FD2568" w:rsidP="00FD2568">
      <w:pPr>
        <w:ind w:firstLine="0"/>
        <w:rPr>
          <w:lang w:val="de-AT"/>
        </w:rPr>
      </w:pPr>
    </w:p>
    <w:p w14:paraId="44325070" w14:textId="77777777" w:rsidR="00FD2568" w:rsidRDefault="00FD2568" w:rsidP="00FD2568">
      <w:pPr>
        <w:ind w:firstLine="0"/>
        <w:rPr>
          <w:lang w:val="de-AT"/>
        </w:rPr>
      </w:pPr>
    </w:p>
    <w:p w14:paraId="3A79429D" w14:textId="77777777" w:rsidR="00FD2568" w:rsidRDefault="00FD2568" w:rsidP="00FD2568">
      <w:pPr>
        <w:ind w:firstLine="0"/>
        <w:rPr>
          <w:lang w:val="de-AT"/>
        </w:rPr>
      </w:pPr>
    </w:p>
    <w:p w14:paraId="09D65D96" w14:textId="77777777" w:rsidR="00FD2568" w:rsidRDefault="00FD2568" w:rsidP="00FD2568">
      <w:pPr>
        <w:ind w:firstLine="0"/>
        <w:rPr>
          <w:lang w:val="de-AT"/>
        </w:rPr>
      </w:pPr>
    </w:p>
    <w:p w14:paraId="0F125499" w14:textId="77777777" w:rsidR="00FD2568" w:rsidRDefault="00FD2568" w:rsidP="00FD2568">
      <w:pPr>
        <w:ind w:firstLine="0"/>
        <w:rPr>
          <w:lang w:val="de-AT"/>
        </w:rPr>
      </w:pPr>
    </w:p>
    <w:p w14:paraId="488E164C" w14:textId="77777777" w:rsidR="00FD2568" w:rsidRDefault="00FD2568" w:rsidP="00FD2568">
      <w:pPr>
        <w:ind w:firstLine="0"/>
        <w:rPr>
          <w:lang w:val="de-AT"/>
        </w:rPr>
      </w:pPr>
    </w:p>
    <w:p w14:paraId="5251CD43" w14:textId="77777777" w:rsidR="00FD2568" w:rsidRDefault="00FD2568" w:rsidP="00FD2568">
      <w:pPr>
        <w:ind w:firstLine="0"/>
        <w:rPr>
          <w:lang w:val="de-AT"/>
        </w:rPr>
      </w:pPr>
    </w:p>
    <w:p w14:paraId="518A827C" w14:textId="77777777" w:rsidR="00FD2568" w:rsidRDefault="00FD2568" w:rsidP="00FD2568">
      <w:pPr>
        <w:ind w:firstLine="0"/>
        <w:rPr>
          <w:lang w:val="de-AT"/>
        </w:rPr>
      </w:pPr>
    </w:p>
    <w:p w14:paraId="68E978A1" w14:textId="77777777" w:rsidR="00FD2568" w:rsidRDefault="00FD2568" w:rsidP="00FD2568">
      <w:pPr>
        <w:ind w:firstLine="0"/>
        <w:rPr>
          <w:lang w:val="de-AT"/>
        </w:rPr>
      </w:pPr>
    </w:p>
    <w:p w14:paraId="3E59BAD6" w14:textId="77777777" w:rsidR="00FD2568" w:rsidRDefault="00FD2568" w:rsidP="00FD2568">
      <w:pPr>
        <w:ind w:firstLine="0"/>
        <w:rPr>
          <w:lang w:val="de-AT"/>
        </w:rPr>
      </w:pPr>
    </w:p>
    <w:p w14:paraId="1E2CCE07" w14:textId="77777777" w:rsidR="00FD2568" w:rsidRDefault="00FD2568" w:rsidP="00FD2568">
      <w:pPr>
        <w:ind w:firstLine="0"/>
        <w:rPr>
          <w:lang w:val="de-AT"/>
        </w:rPr>
      </w:pPr>
    </w:p>
    <w:tbl>
      <w:tblPr>
        <w:tblW w:w="8095" w:type="dxa"/>
        <w:tblInd w:w="50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465"/>
        <w:gridCol w:w="1180"/>
        <w:gridCol w:w="1371"/>
        <w:gridCol w:w="1134"/>
      </w:tblGrid>
      <w:tr w:rsidR="00FD2568" w:rsidRPr="00FD2568" w14:paraId="0E2F3C30" w14:textId="77777777" w:rsidTr="00166971">
        <w:trPr>
          <w:trHeight w:val="270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755CAD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FD2568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Herkunftsland</w:t>
            </w:r>
          </w:p>
        </w:tc>
        <w:tc>
          <w:tcPr>
            <w:tcW w:w="2645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2714A98" w14:textId="77777777" w:rsidR="00FD2568" w:rsidRPr="00FD2568" w:rsidRDefault="00FD2568" w:rsidP="00FD2568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FD2568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Nächtigungsumsatz in € netto</w:t>
            </w:r>
            <w:r w:rsidRPr="00FD2568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vertAlign w:val="superscript"/>
                <w:lang w:eastAsia="zh-CN" w:bidi="th-TH"/>
              </w:rPr>
              <w:t>2)</w:t>
            </w:r>
          </w:p>
        </w:tc>
        <w:tc>
          <w:tcPr>
            <w:tcW w:w="2505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F47525B" w14:textId="77777777" w:rsidR="00FD2568" w:rsidRPr="00FD2568" w:rsidRDefault="00FD2568" w:rsidP="00FD2568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</w:p>
        </w:tc>
      </w:tr>
      <w:tr w:rsidR="00FD2568" w:rsidRPr="00FD2568" w14:paraId="665B6CB4" w14:textId="77777777" w:rsidTr="00166971">
        <w:trPr>
          <w:trHeight w:val="285"/>
        </w:trPr>
        <w:tc>
          <w:tcPr>
            <w:tcW w:w="2945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24A9B8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 </w:t>
            </w:r>
          </w:p>
        </w:tc>
        <w:tc>
          <w:tcPr>
            <w:tcW w:w="2645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8FDF19" w14:textId="77777777" w:rsidR="00FD2568" w:rsidRPr="00FD2568" w:rsidRDefault="00FD2568" w:rsidP="00FD2568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Jänner 2025</w:t>
            </w:r>
          </w:p>
        </w:tc>
        <w:tc>
          <w:tcPr>
            <w:tcW w:w="2505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C6E8118" w14:textId="77777777" w:rsidR="00FD2568" w:rsidRPr="00FD2568" w:rsidRDefault="00FD2568" w:rsidP="00FD2568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2B34F94C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C662050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val="de-AT" w:eastAsia="de-AT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Österreich</w:t>
            </w:r>
          </w:p>
        </w:tc>
        <w:tc>
          <w:tcPr>
            <w:tcW w:w="146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4F27E9E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11.825.000</w:t>
            </w:r>
          </w:p>
        </w:tc>
        <w:tc>
          <w:tcPr>
            <w:tcW w:w="118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F06044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- 12 %</w:t>
            </w:r>
          </w:p>
        </w:tc>
        <w:tc>
          <w:tcPr>
            <w:tcW w:w="1371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1AA0DFC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3E74B00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5AC42437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4C983A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Deutschland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778A4B6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9.296.000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A53CA6F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- 4 %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B89E8E2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B7D070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7523C25F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1AE2F6B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Italien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25DE2C2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4.810.000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6D0D982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- 5 %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35306F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4900BDC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503DBC93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7E4B357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USA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BC10220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4.146.000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67B404B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15E5FB3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C8A49CB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0B1A5E4F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782658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Großbritannien, Nordirland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B64011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2.600.000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68ACAC3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- 8 %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917AF9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9277E05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767E30A6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DA0C409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Spanien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8D3DBF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2.338.000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486B63C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- 7 %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F09DA5C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0AEEF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19240987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21D55FA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Frankreich, Monaco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A783376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1.875.000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05AEEF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- 9 %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B8E3CF2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AC4C0C4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7DEAF8F7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68E504B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Ukraine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CAB1553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1.731.000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A5E0750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44B7324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D8CCEEB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7387185D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A5E15A4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Rumänien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670FC6F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1.668.000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7910F94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+ 32 %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30F9821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4BEB1A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2FC6D88B" w14:textId="77777777" w:rsidTr="00166971">
        <w:trPr>
          <w:trHeight w:val="248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0BE9269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Griechenland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A038BE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1.633.000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51AFAE2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- 19 %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7175B08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60C452E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326DA9A5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A6E165F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Übrige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C5D3E75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27.198.000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03209C3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AD500A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E44D13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5F842979" w14:textId="77777777" w:rsidTr="00166971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411ED51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Gesamtergebnis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ECA161E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69.120.000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9BF40A3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91F687B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4F82A86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69F456A8" w14:textId="77777777" w:rsidTr="00166971">
        <w:trPr>
          <w:trHeight w:val="285"/>
        </w:trPr>
        <w:tc>
          <w:tcPr>
            <w:tcW w:w="294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C37FC24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RevPAR</w:t>
            </w:r>
            <w:r w:rsidRPr="00FD2568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vertAlign w:val="superscript"/>
                <w:lang w:eastAsia="zh-CN" w:bidi="th-TH"/>
              </w:rPr>
              <w:t>3)</w:t>
            </w:r>
            <w:r w:rsidRPr="00FD2568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 xml:space="preserve"> in €</w:t>
            </w:r>
          </w:p>
        </w:tc>
        <w:tc>
          <w:tcPr>
            <w:tcW w:w="146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AD0F494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zh-CN" w:bidi="th-TH"/>
              </w:rPr>
              <w:t>50,2</w:t>
            </w:r>
          </w:p>
        </w:tc>
        <w:tc>
          <w:tcPr>
            <w:tcW w:w="1180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D43A336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20"/>
                <w:szCs w:val="20"/>
                <w:lang w:eastAsia="zh-CN" w:bidi="th-TH"/>
              </w:rPr>
              <w:t>- 6 %</w:t>
            </w:r>
          </w:p>
        </w:tc>
        <w:tc>
          <w:tcPr>
            <w:tcW w:w="1371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6D93978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134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67E64F7" w14:textId="77777777" w:rsidR="00FD2568" w:rsidRPr="00FD2568" w:rsidRDefault="00FD2568" w:rsidP="00FD2568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FD2568" w:rsidRPr="00FD2568" w14:paraId="637B94F3" w14:textId="77777777" w:rsidTr="00166971">
        <w:trPr>
          <w:trHeight w:val="523"/>
        </w:trPr>
        <w:tc>
          <w:tcPr>
            <w:tcW w:w="8095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5DAD5FD8" w14:textId="77777777" w:rsidR="00FD2568" w:rsidRPr="00FD2568" w:rsidRDefault="00FD2568" w:rsidP="00FD256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2) ohne Frühstück und Umsatzsteuer, Wert wird aus den monatlichen Erträgen der Ortstaxe hochgerechnet </w:t>
            </w:r>
          </w:p>
          <w:p w14:paraId="5F42C220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3) </w:t>
            </w:r>
            <w:proofErr w:type="spellStart"/>
            <w:r w:rsidRPr="00FD2568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RevPAR</w:t>
            </w:r>
            <w:proofErr w:type="spellEnd"/>
            <w:r w:rsidRPr="00FD2568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 </w:t>
            </w:r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(</w:t>
            </w:r>
            <w:proofErr w:type="spellStart"/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revenue</w:t>
            </w:r>
            <w:proofErr w:type="spellEnd"/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per </w:t>
            </w:r>
            <w:proofErr w:type="spellStart"/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available</w:t>
            </w:r>
            <w:proofErr w:type="spellEnd"/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</w:t>
            </w:r>
            <w:proofErr w:type="spellStart"/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room</w:t>
            </w:r>
            <w:proofErr w:type="spellEnd"/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) </w:t>
            </w:r>
            <w:r w:rsidRPr="00FD2568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ist </w:t>
            </w:r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der Erlös </w:t>
            </w:r>
            <w:proofErr w:type="gramStart"/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pro verfügbarem Zimmer</w:t>
            </w:r>
            <w:proofErr w:type="gramEnd"/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in Hotels &amp; Pensionen, ein Nettowert, der die Kennzahlen „durchschnittliche Zimmerbelegung“ und „durchschnittlicher Zimmerpreis“ vereint. Nicht zu verwechseln mit dem weit darüber liegenden Zimmerpreis.</w:t>
            </w:r>
          </w:p>
          <w:p w14:paraId="1F1E2B9B" w14:textId="77777777" w:rsidR="00FD2568" w:rsidRPr="00FD2568" w:rsidRDefault="00FD2568" w:rsidP="00FD2568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FD2568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Datenquellen:</w:t>
            </w:r>
            <w:r w:rsidRPr="00FD2568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MA 23 – Dezernat Statistik und MA 6 – Rechnungs- und Abgabenwesen. Die Kennzahlen zum Nächtigungsumsatz stehen jeweils einen Monat nach den Nächtigungsergebnissen zur Verfügung.</w:t>
            </w:r>
          </w:p>
        </w:tc>
      </w:tr>
    </w:tbl>
    <w:p w14:paraId="72C9F8B9" w14:textId="77777777" w:rsidR="00FD2568" w:rsidRDefault="00FD2568" w:rsidP="00FD2568">
      <w:pPr>
        <w:ind w:firstLine="0"/>
      </w:pPr>
    </w:p>
    <w:p w14:paraId="0B569082" w14:textId="5C21B144" w:rsidR="008E1495" w:rsidRPr="00E22FF9" w:rsidRDefault="008E1495" w:rsidP="008E1495">
      <w:pPr>
        <w:ind w:firstLine="0"/>
        <w:jc w:val="left"/>
        <w:rPr>
          <w:rFonts w:asciiTheme="majorHAnsi" w:hAnsiTheme="majorHAnsi" w:cstheme="majorHAnsi"/>
          <w:lang w:val="de-AT"/>
        </w:rPr>
      </w:pPr>
      <w:r w:rsidRPr="00E22FF9">
        <w:rPr>
          <w:rFonts w:asciiTheme="majorHAnsi" w:hAnsiTheme="majorHAnsi" w:cstheme="majorHAnsi"/>
          <w:b/>
          <w:bCs/>
          <w:lang w:val="de-AT"/>
        </w:rPr>
        <w:t>Rückfragen für Medien</w:t>
      </w:r>
    </w:p>
    <w:p w14:paraId="12F278B6" w14:textId="77777777" w:rsidR="008E1495" w:rsidRPr="00E22FF9" w:rsidRDefault="008E1495" w:rsidP="008E1495">
      <w:pPr>
        <w:ind w:firstLine="0"/>
        <w:jc w:val="left"/>
        <w:rPr>
          <w:rFonts w:asciiTheme="majorHAnsi" w:hAnsiTheme="majorHAnsi" w:cstheme="majorHAnsi"/>
          <w:lang w:val="de-AT"/>
        </w:rPr>
      </w:pPr>
      <w:r w:rsidRPr="00E22FF9">
        <w:rPr>
          <w:rFonts w:asciiTheme="majorHAnsi" w:hAnsiTheme="majorHAnsi" w:cstheme="majorHAnsi"/>
          <w:lang w:val="de-AT"/>
        </w:rPr>
        <w:t>Walter Straßer</w:t>
      </w:r>
      <w:r w:rsidRPr="00E22FF9">
        <w:rPr>
          <w:rFonts w:asciiTheme="majorHAnsi" w:hAnsiTheme="majorHAnsi" w:cstheme="majorHAnsi"/>
          <w:lang w:val="de-AT"/>
        </w:rPr>
        <w:tab/>
      </w:r>
      <w:r w:rsidRPr="00E22FF9">
        <w:rPr>
          <w:rFonts w:asciiTheme="majorHAnsi" w:hAnsiTheme="majorHAnsi" w:cstheme="majorHAnsi"/>
          <w:lang w:val="de-AT"/>
        </w:rPr>
        <w:tab/>
      </w:r>
      <w:r w:rsidRPr="00E22FF9">
        <w:rPr>
          <w:rFonts w:asciiTheme="majorHAnsi" w:hAnsiTheme="majorHAnsi" w:cstheme="majorHAnsi"/>
          <w:lang w:val="de-AT"/>
        </w:rPr>
        <w:tab/>
        <w:t>Marie-Therese Tropsch</w:t>
      </w:r>
    </w:p>
    <w:p w14:paraId="7B0D9B68" w14:textId="77777777" w:rsidR="008E1495" w:rsidRPr="00E22FF9" w:rsidRDefault="008E1495" w:rsidP="008E1495">
      <w:pPr>
        <w:ind w:firstLine="0"/>
        <w:jc w:val="left"/>
        <w:rPr>
          <w:rFonts w:asciiTheme="majorHAnsi" w:hAnsiTheme="majorHAnsi" w:cstheme="majorHAnsi"/>
          <w:lang w:val="es-ES"/>
        </w:rPr>
      </w:pPr>
      <w:r w:rsidRPr="00E22FF9">
        <w:rPr>
          <w:rFonts w:asciiTheme="majorHAnsi" w:hAnsiTheme="majorHAnsi" w:cstheme="majorHAnsi"/>
          <w:lang w:val="es-ES"/>
        </w:rPr>
        <w:t>Tel. +43 1 211 14 – 111</w:t>
      </w:r>
      <w:r w:rsidRPr="00E22FF9">
        <w:rPr>
          <w:rFonts w:asciiTheme="majorHAnsi" w:hAnsiTheme="majorHAnsi" w:cstheme="majorHAnsi"/>
          <w:lang w:val="es-ES"/>
        </w:rPr>
        <w:tab/>
      </w:r>
      <w:r w:rsidRPr="00E22FF9">
        <w:rPr>
          <w:rFonts w:asciiTheme="majorHAnsi" w:hAnsiTheme="majorHAnsi" w:cstheme="majorHAnsi"/>
          <w:lang w:val="es-ES"/>
        </w:rPr>
        <w:tab/>
        <w:t>Tel. +43 1 211 14 – 117</w:t>
      </w:r>
    </w:p>
    <w:p w14:paraId="14C43633" w14:textId="40C913F6" w:rsidR="008E1495" w:rsidRPr="008E1495" w:rsidRDefault="007211C4" w:rsidP="008E1495">
      <w:pPr>
        <w:ind w:firstLine="0"/>
        <w:rPr>
          <w:lang w:val="es-ES"/>
        </w:rPr>
      </w:pPr>
      <w:hyperlink r:id="rId10" w:history="1">
        <w:r>
          <w:rPr>
            <w:rStyle w:val="Hyperlink"/>
            <w:rFonts w:asciiTheme="majorHAnsi" w:hAnsiTheme="majorHAnsi" w:cstheme="majorHAnsi"/>
            <w:lang w:val="es-ES"/>
          </w:rPr>
          <w:t>walter.strasser@wien.info</w:t>
        </w:r>
      </w:hyperlink>
      <w:r w:rsidR="008E1495" w:rsidRPr="00E22FF9">
        <w:rPr>
          <w:rFonts w:asciiTheme="majorHAnsi" w:hAnsiTheme="majorHAnsi" w:cstheme="majorHAnsi"/>
          <w:lang w:val="es-ES"/>
        </w:rPr>
        <w:tab/>
      </w:r>
      <w:r>
        <w:rPr>
          <w:rFonts w:asciiTheme="majorHAnsi" w:hAnsiTheme="majorHAnsi" w:cstheme="majorHAnsi"/>
          <w:lang w:val="es-ES"/>
        </w:rPr>
        <w:t xml:space="preserve">           </w:t>
      </w:r>
      <w:hyperlink r:id="rId11" w:history="1">
        <w:r w:rsidR="00C1166B" w:rsidRPr="00F76840">
          <w:rPr>
            <w:rStyle w:val="Hyperlink"/>
            <w:rFonts w:asciiTheme="majorHAnsi" w:hAnsiTheme="majorHAnsi" w:cstheme="majorHAnsi"/>
            <w:lang w:val="es-ES"/>
          </w:rPr>
          <w:t>marie-therese.tropsch@wien.info</w:t>
        </w:r>
      </w:hyperlink>
    </w:p>
    <w:sectPr w:rsidR="008E1495" w:rsidRPr="008E1495" w:rsidSect="00EF27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134" w:bottom="2268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973A" w14:textId="77777777" w:rsidR="00D75CF6" w:rsidRDefault="00D75CF6" w:rsidP="00474F51">
      <w:r>
        <w:separator/>
      </w:r>
    </w:p>
  </w:endnote>
  <w:endnote w:type="continuationSeparator" w:id="0">
    <w:p w14:paraId="153358A1" w14:textId="77777777" w:rsidR="00D75CF6" w:rsidRDefault="00D75CF6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Light">
    <w:charset w:val="00"/>
    <w:family w:val="auto"/>
    <w:pitch w:val="variable"/>
    <w:sig w:usb0="00000007" w:usb1="00000000" w:usb2="00000000" w:usb3="00000000" w:csb0="00000093" w:csb1="00000000"/>
  </w:font>
  <w:font w:name="Graphik LCG Light">
    <w:altName w:val="Myriad Pro"/>
    <w:panose1 w:val="020B04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Graphik LCG TT Light">
    <w:panose1 w:val="020B04030302020602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CG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71FF" w14:textId="77777777" w:rsidR="00E27ADB" w:rsidRDefault="00E27A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C209" w14:textId="77777777" w:rsidR="00AD479F" w:rsidRDefault="00431005" w:rsidP="00431005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8480" behindDoc="0" locked="1" layoutInCell="1" allowOverlap="1" wp14:anchorId="3CC988C4" wp14:editId="1A909ECC">
          <wp:simplePos x="0" y="0"/>
          <wp:positionH relativeFrom="margin">
            <wp:align>center</wp:align>
          </wp:positionH>
          <wp:positionV relativeFrom="margin">
            <wp:posOffset>8461375</wp:posOffset>
          </wp:positionV>
          <wp:extent cx="936000" cy="180360"/>
          <wp:effectExtent l="0" t="0" r="381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fldChar w:fldCharType="begin"/>
    </w:r>
    <w:r>
      <w:instrText xml:space="preserve"> </w:instrText>
    </w:r>
    <w:r w:rsidR="00B365EC">
      <w:instrText>PAGE</w:instrText>
    </w:r>
    <w:r>
      <w:instrText xml:space="preserve">  \* MERGEFORMAT </w:instrText>
    </w:r>
    <w:r>
      <w:fldChar w:fldCharType="separate"/>
    </w:r>
    <w:r w:rsidR="004B7A66">
      <w:rPr>
        <w:noProof/>
      </w:rPr>
      <w:t>1</w:t>
    </w:r>
    <w:r>
      <w:fldChar w:fldCharType="end"/>
    </w:r>
    <w:r w:rsidR="00E54EB7">
      <w:t>/</w:t>
    </w:r>
    <w:r w:rsidR="00945057">
      <w:fldChar w:fldCharType="begin"/>
    </w:r>
    <w:r w:rsidR="00945057">
      <w:instrText xml:space="preserve"> </w:instrText>
    </w:r>
    <w:r w:rsidR="00B365EC">
      <w:instrText>NUMPAGES</w:instrText>
    </w:r>
    <w:r w:rsidR="00945057">
      <w:instrText xml:space="preserve">  \* MERGEFORMAT </w:instrText>
    </w:r>
    <w:r w:rsidR="00945057">
      <w:fldChar w:fldCharType="separate"/>
    </w:r>
    <w:r w:rsidR="004B7A66">
      <w:rPr>
        <w:noProof/>
      </w:rPr>
      <w:t>1</w:t>
    </w:r>
    <w:r w:rsidR="0094505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1D7B" w14:textId="77777777" w:rsidR="00313D79" w:rsidRDefault="00BA1987" w:rsidP="00B1339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70528" behindDoc="0" locked="1" layoutInCell="1" allowOverlap="1" wp14:anchorId="3928B88C" wp14:editId="6A3CB4CA">
          <wp:simplePos x="0" y="0"/>
          <wp:positionH relativeFrom="margin">
            <wp:align>center</wp:align>
          </wp:positionH>
          <wp:positionV relativeFrom="margin">
            <wp:posOffset>8472805</wp:posOffset>
          </wp:positionV>
          <wp:extent cx="936000" cy="180360"/>
          <wp:effectExtent l="0" t="0" r="381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550C" w14:textId="77777777" w:rsidR="00D75CF6" w:rsidRDefault="00D75CF6" w:rsidP="00474F51">
      <w:r>
        <w:separator/>
      </w:r>
    </w:p>
  </w:footnote>
  <w:footnote w:type="continuationSeparator" w:id="0">
    <w:p w14:paraId="2945ED07" w14:textId="77777777" w:rsidR="00D75CF6" w:rsidRDefault="00D75CF6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6198" w14:textId="77777777" w:rsidR="00E27ADB" w:rsidRDefault="00E27A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E765" w14:textId="77777777" w:rsidR="00AD479F" w:rsidRPr="00E54EB7" w:rsidRDefault="00AD479F" w:rsidP="00474F51">
    <w:pPr>
      <w:pStyle w:val="Kopfzeile"/>
      <w:rPr>
        <w:rStyle w:val="Funotenzeiche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E51" w14:textId="77777777" w:rsidR="00E27ADB" w:rsidRDefault="00E27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9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EAD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00B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1E1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C8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11CE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7CC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205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DC7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EC2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7EE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A75"/>
    <w:multiLevelType w:val="multilevel"/>
    <w:tmpl w:val="E7AE933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FB4AAC"/>
    <w:multiLevelType w:val="hybridMultilevel"/>
    <w:tmpl w:val="CDA6005E"/>
    <w:lvl w:ilvl="0" w:tplc="E190FD1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11A76"/>
    <w:multiLevelType w:val="multilevel"/>
    <w:tmpl w:val="CDA6005E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8309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A956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897F7C"/>
    <w:multiLevelType w:val="multilevel"/>
    <w:tmpl w:val="25ACB0F2"/>
    <w:lvl w:ilvl="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F0CC9"/>
    <w:multiLevelType w:val="hybridMultilevel"/>
    <w:tmpl w:val="7AFA36B6"/>
    <w:lvl w:ilvl="0" w:tplc="D14CEDA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E52236" w:themeColor="accent1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01F79"/>
    <w:multiLevelType w:val="multilevel"/>
    <w:tmpl w:val="D690E4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30E6970"/>
    <w:multiLevelType w:val="hybridMultilevel"/>
    <w:tmpl w:val="9A74BEB6"/>
    <w:lvl w:ilvl="0" w:tplc="19041ABA">
      <w:start w:val="1"/>
      <w:numFmt w:val="decimal"/>
      <w:lvlText w:val="%1."/>
      <w:lvlJc w:val="left"/>
      <w:pPr>
        <w:ind w:left="927" w:hanging="360"/>
      </w:pPr>
      <w:rPr>
        <w:rFonts w:ascii="Graphik LCG Light" w:hAnsi="Graphik LCG Light" w:hint="default"/>
        <w:b w:val="0"/>
        <w:i w:val="0"/>
        <w:color w:val="E52236" w:themeColor="accent1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3190F"/>
    <w:multiLevelType w:val="multilevel"/>
    <w:tmpl w:val="26AAD5B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2613649"/>
    <w:multiLevelType w:val="hybridMultilevel"/>
    <w:tmpl w:val="B658BB12"/>
    <w:lvl w:ilvl="0" w:tplc="1A9E94F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A56B5"/>
    <w:multiLevelType w:val="hybridMultilevel"/>
    <w:tmpl w:val="25ACB0F2"/>
    <w:lvl w:ilvl="0" w:tplc="30FA337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56F3"/>
    <w:multiLevelType w:val="multilevel"/>
    <w:tmpl w:val="3EC8EA3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659549B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41C0"/>
    <w:multiLevelType w:val="multilevel"/>
    <w:tmpl w:val="B658BB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16E16"/>
    <w:multiLevelType w:val="hybridMultilevel"/>
    <w:tmpl w:val="43EC24DA"/>
    <w:lvl w:ilvl="0" w:tplc="CF7C5F5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A5CA9"/>
    <w:multiLevelType w:val="hybridMultilevel"/>
    <w:tmpl w:val="0EF2C2F2"/>
    <w:lvl w:ilvl="0" w:tplc="F2AEC2F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D2BDF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31FA9"/>
    <w:multiLevelType w:val="multilevel"/>
    <w:tmpl w:val="8CF63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0163"/>
    <w:multiLevelType w:val="hybridMultilevel"/>
    <w:tmpl w:val="A64C40B2"/>
    <w:lvl w:ilvl="0" w:tplc="A3A8CF92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4AFD"/>
    <w:multiLevelType w:val="multilevel"/>
    <w:tmpl w:val="94B08E3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0F52E59"/>
    <w:multiLevelType w:val="multilevel"/>
    <w:tmpl w:val="BA526400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11C7DCF"/>
    <w:multiLevelType w:val="hybridMultilevel"/>
    <w:tmpl w:val="B4EE7B92"/>
    <w:lvl w:ilvl="0" w:tplc="CCB02FE4">
      <w:start w:val="1"/>
      <w:numFmt w:val="decimal"/>
      <w:pStyle w:val="Nummerierung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F46C9"/>
    <w:multiLevelType w:val="hybridMultilevel"/>
    <w:tmpl w:val="8CF63EA0"/>
    <w:lvl w:ilvl="0" w:tplc="0E8A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C4E43"/>
    <w:multiLevelType w:val="multilevel"/>
    <w:tmpl w:val="43EC24D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B28BC"/>
    <w:multiLevelType w:val="multilevel"/>
    <w:tmpl w:val="6EE85974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53ED"/>
    <w:multiLevelType w:val="hybridMultilevel"/>
    <w:tmpl w:val="0256D4C6"/>
    <w:lvl w:ilvl="0" w:tplc="0AACA7AC">
      <w:start w:val="1"/>
      <w:numFmt w:val="bullet"/>
      <w:pStyle w:val="Aufzhlung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E5E16"/>
    <w:multiLevelType w:val="multilevel"/>
    <w:tmpl w:val="0EF2C2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72857">
    <w:abstractNumId w:val="11"/>
  </w:num>
  <w:num w:numId="2" w16cid:durableId="179467764">
    <w:abstractNumId w:val="21"/>
  </w:num>
  <w:num w:numId="3" w16cid:durableId="1995405501">
    <w:abstractNumId w:val="12"/>
  </w:num>
  <w:num w:numId="4" w16cid:durableId="236012408">
    <w:abstractNumId w:val="34"/>
  </w:num>
  <w:num w:numId="5" w16cid:durableId="2066829107">
    <w:abstractNumId w:val="26"/>
  </w:num>
  <w:num w:numId="6" w16cid:durableId="254434859">
    <w:abstractNumId w:val="36"/>
  </w:num>
  <w:num w:numId="7" w16cid:durableId="1652326215">
    <w:abstractNumId w:val="30"/>
  </w:num>
  <w:num w:numId="8" w16cid:durableId="1987126933">
    <w:abstractNumId w:val="24"/>
  </w:num>
  <w:num w:numId="9" w16cid:durableId="97457235">
    <w:abstractNumId w:val="16"/>
  </w:num>
  <w:num w:numId="10" w16cid:durableId="689988048">
    <w:abstractNumId w:val="17"/>
  </w:num>
  <w:num w:numId="11" w16cid:durableId="1084961703">
    <w:abstractNumId w:val="13"/>
  </w:num>
  <w:num w:numId="12" w16cid:durableId="2110153778">
    <w:abstractNumId w:val="14"/>
  </w:num>
  <w:num w:numId="13" w16cid:durableId="2004818270">
    <w:abstractNumId w:val="28"/>
  </w:num>
  <w:num w:numId="14" w16cid:durableId="1260336818">
    <w:abstractNumId w:val="31"/>
  </w:num>
  <w:num w:numId="15" w16cid:durableId="1790780785">
    <w:abstractNumId w:val="29"/>
  </w:num>
  <w:num w:numId="16" w16cid:durableId="1779834698">
    <w:abstractNumId w:val="40"/>
  </w:num>
  <w:num w:numId="17" w16cid:durableId="152837742">
    <w:abstractNumId w:val="23"/>
  </w:num>
  <w:num w:numId="18" w16cid:durableId="86973123">
    <w:abstractNumId w:val="27"/>
  </w:num>
  <w:num w:numId="19" w16cid:durableId="439030531">
    <w:abstractNumId w:val="20"/>
  </w:num>
  <w:num w:numId="20" w16cid:durableId="972633761">
    <w:abstractNumId w:val="37"/>
  </w:num>
  <w:num w:numId="21" w16cid:durableId="463083683">
    <w:abstractNumId w:val="18"/>
  </w:num>
  <w:num w:numId="22" w16cid:durableId="613055220">
    <w:abstractNumId w:val="0"/>
  </w:num>
  <w:num w:numId="23" w16cid:durableId="1544712800">
    <w:abstractNumId w:val="1"/>
  </w:num>
  <w:num w:numId="24" w16cid:durableId="1870876136">
    <w:abstractNumId w:val="2"/>
  </w:num>
  <w:num w:numId="25" w16cid:durableId="515076925">
    <w:abstractNumId w:val="3"/>
  </w:num>
  <w:num w:numId="26" w16cid:durableId="1202132384">
    <w:abstractNumId w:val="4"/>
  </w:num>
  <w:num w:numId="27" w16cid:durableId="201553905">
    <w:abstractNumId w:val="9"/>
  </w:num>
  <w:num w:numId="28" w16cid:durableId="1057624742">
    <w:abstractNumId w:val="5"/>
  </w:num>
  <w:num w:numId="29" w16cid:durableId="1473404677">
    <w:abstractNumId w:val="6"/>
  </w:num>
  <w:num w:numId="30" w16cid:durableId="2097364552">
    <w:abstractNumId w:val="7"/>
  </w:num>
  <w:num w:numId="31" w16cid:durableId="2106148252">
    <w:abstractNumId w:val="8"/>
  </w:num>
  <w:num w:numId="32" w16cid:durableId="1080519661">
    <w:abstractNumId w:val="10"/>
  </w:num>
  <w:num w:numId="33" w16cid:durableId="1823888890">
    <w:abstractNumId w:val="15"/>
  </w:num>
  <w:num w:numId="34" w16cid:durableId="1125655264">
    <w:abstractNumId w:val="33"/>
  </w:num>
  <w:num w:numId="35" w16cid:durableId="2096978430">
    <w:abstractNumId w:val="25"/>
  </w:num>
  <w:num w:numId="36" w16cid:durableId="236594269">
    <w:abstractNumId w:val="19"/>
  </w:num>
  <w:num w:numId="37" w16cid:durableId="1842549062">
    <w:abstractNumId w:val="22"/>
  </w:num>
  <w:num w:numId="38" w16cid:durableId="329674230">
    <w:abstractNumId w:val="35"/>
  </w:num>
  <w:num w:numId="39" w16cid:durableId="928276195">
    <w:abstractNumId w:val="32"/>
  </w:num>
  <w:num w:numId="40" w16cid:durableId="1392846856">
    <w:abstractNumId w:val="38"/>
  </w:num>
  <w:num w:numId="41" w16cid:durableId="1958104522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9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F6"/>
    <w:rsid w:val="00000788"/>
    <w:rsid w:val="0000538A"/>
    <w:rsid w:val="000158F1"/>
    <w:rsid w:val="00021A4A"/>
    <w:rsid w:val="00024E41"/>
    <w:rsid w:val="000252E1"/>
    <w:rsid w:val="00036856"/>
    <w:rsid w:val="00052DC1"/>
    <w:rsid w:val="00057F74"/>
    <w:rsid w:val="00067556"/>
    <w:rsid w:val="00072209"/>
    <w:rsid w:val="00080FD6"/>
    <w:rsid w:val="00095BAA"/>
    <w:rsid w:val="00097195"/>
    <w:rsid w:val="000A6C31"/>
    <w:rsid w:val="000D3840"/>
    <w:rsid w:val="000D45B0"/>
    <w:rsid w:val="000E0DB4"/>
    <w:rsid w:val="00102099"/>
    <w:rsid w:val="001060C6"/>
    <w:rsid w:val="00115FAC"/>
    <w:rsid w:val="0012071B"/>
    <w:rsid w:val="00130A80"/>
    <w:rsid w:val="001516E1"/>
    <w:rsid w:val="00154274"/>
    <w:rsid w:val="001565B0"/>
    <w:rsid w:val="00161DD6"/>
    <w:rsid w:val="001622A8"/>
    <w:rsid w:val="001659D7"/>
    <w:rsid w:val="00167392"/>
    <w:rsid w:val="0017342B"/>
    <w:rsid w:val="00174B7C"/>
    <w:rsid w:val="001A7B45"/>
    <w:rsid w:val="001B3832"/>
    <w:rsid w:val="001B48F1"/>
    <w:rsid w:val="001C1BF3"/>
    <w:rsid w:val="001C30E9"/>
    <w:rsid w:val="001C7ADF"/>
    <w:rsid w:val="001D0942"/>
    <w:rsid w:val="001E1943"/>
    <w:rsid w:val="001F5E75"/>
    <w:rsid w:val="002200A9"/>
    <w:rsid w:val="00227B87"/>
    <w:rsid w:val="0024079C"/>
    <w:rsid w:val="00241103"/>
    <w:rsid w:val="00243573"/>
    <w:rsid w:val="00245D8A"/>
    <w:rsid w:val="00251921"/>
    <w:rsid w:val="002714A5"/>
    <w:rsid w:val="002771E0"/>
    <w:rsid w:val="00282681"/>
    <w:rsid w:val="00286626"/>
    <w:rsid w:val="002A0943"/>
    <w:rsid w:val="002A112B"/>
    <w:rsid w:val="002B0253"/>
    <w:rsid w:val="002B7A9F"/>
    <w:rsid w:val="002C4539"/>
    <w:rsid w:val="002D1149"/>
    <w:rsid w:val="002D162C"/>
    <w:rsid w:val="002E068C"/>
    <w:rsid w:val="002E56D4"/>
    <w:rsid w:val="002F16BD"/>
    <w:rsid w:val="0030347C"/>
    <w:rsid w:val="00313D79"/>
    <w:rsid w:val="00332741"/>
    <w:rsid w:val="0034026F"/>
    <w:rsid w:val="00340BB7"/>
    <w:rsid w:val="0034641F"/>
    <w:rsid w:val="00355CCA"/>
    <w:rsid w:val="00356D8B"/>
    <w:rsid w:val="00362ED1"/>
    <w:rsid w:val="003708FA"/>
    <w:rsid w:val="00377D77"/>
    <w:rsid w:val="003865DB"/>
    <w:rsid w:val="003A2371"/>
    <w:rsid w:val="003A3232"/>
    <w:rsid w:val="003A5A74"/>
    <w:rsid w:val="003A72B2"/>
    <w:rsid w:val="003B19D4"/>
    <w:rsid w:val="003B5776"/>
    <w:rsid w:val="003B6A5A"/>
    <w:rsid w:val="003C55D6"/>
    <w:rsid w:val="003F0B1D"/>
    <w:rsid w:val="003F1B94"/>
    <w:rsid w:val="003F4DEB"/>
    <w:rsid w:val="0040014C"/>
    <w:rsid w:val="004020EA"/>
    <w:rsid w:val="00403BB4"/>
    <w:rsid w:val="0040406D"/>
    <w:rsid w:val="00416458"/>
    <w:rsid w:val="00431005"/>
    <w:rsid w:val="00453809"/>
    <w:rsid w:val="00455D80"/>
    <w:rsid w:val="00474F51"/>
    <w:rsid w:val="0048584C"/>
    <w:rsid w:val="00486F0B"/>
    <w:rsid w:val="00494418"/>
    <w:rsid w:val="004958FA"/>
    <w:rsid w:val="00497071"/>
    <w:rsid w:val="004A36CE"/>
    <w:rsid w:val="004B7A66"/>
    <w:rsid w:val="004C33B3"/>
    <w:rsid w:val="004C3692"/>
    <w:rsid w:val="004C7043"/>
    <w:rsid w:val="004D3DEC"/>
    <w:rsid w:val="004F3C32"/>
    <w:rsid w:val="00502F62"/>
    <w:rsid w:val="00504949"/>
    <w:rsid w:val="0051451B"/>
    <w:rsid w:val="005204BB"/>
    <w:rsid w:val="00523575"/>
    <w:rsid w:val="00531819"/>
    <w:rsid w:val="00532913"/>
    <w:rsid w:val="005332E0"/>
    <w:rsid w:val="0054028E"/>
    <w:rsid w:val="005464BB"/>
    <w:rsid w:val="0055246A"/>
    <w:rsid w:val="005538A8"/>
    <w:rsid w:val="0055776B"/>
    <w:rsid w:val="00563E1D"/>
    <w:rsid w:val="00566DF3"/>
    <w:rsid w:val="00570455"/>
    <w:rsid w:val="00574CAE"/>
    <w:rsid w:val="00581BAC"/>
    <w:rsid w:val="0058566B"/>
    <w:rsid w:val="00595CE3"/>
    <w:rsid w:val="005A6224"/>
    <w:rsid w:val="005C09D7"/>
    <w:rsid w:val="005C2B31"/>
    <w:rsid w:val="005D28CC"/>
    <w:rsid w:val="005D458C"/>
    <w:rsid w:val="00600956"/>
    <w:rsid w:val="00604CBF"/>
    <w:rsid w:val="00605AE2"/>
    <w:rsid w:val="00620D5E"/>
    <w:rsid w:val="00624513"/>
    <w:rsid w:val="00627977"/>
    <w:rsid w:val="00630636"/>
    <w:rsid w:val="00640BD0"/>
    <w:rsid w:val="00642045"/>
    <w:rsid w:val="00644DD4"/>
    <w:rsid w:val="00646C90"/>
    <w:rsid w:val="00650D77"/>
    <w:rsid w:val="00657479"/>
    <w:rsid w:val="00657D66"/>
    <w:rsid w:val="00673B28"/>
    <w:rsid w:val="00684C93"/>
    <w:rsid w:val="00692EAE"/>
    <w:rsid w:val="006B0843"/>
    <w:rsid w:val="006B1804"/>
    <w:rsid w:val="006B29DC"/>
    <w:rsid w:val="006B30A0"/>
    <w:rsid w:val="006B6449"/>
    <w:rsid w:val="006C09FA"/>
    <w:rsid w:val="006C6A5D"/>
    <w:rsid w:val="006D41FB"/>
    <w:rsid w:val="006E1250"/>
    <w:rsid w:val="00703090"/>
    <w:rsid w:val="00706E22"/>
    <w:rsid w:val="00716105"/>
    <w:rsid w:val="007211C4"/>
    <w:rsid w:val="007235F2"/>
    <w:rsid w:val="0072458E"/>
    <w:rsid w:val="007247EE"/>
    <w:rsid w:val="007337FC"/>
    <w:rsid w:val="00740E04"/>
    <w:rsid w:val="007658C7"/>
    <w:rsid w:val="0077766B"/>
    <w:rsid w:val="00777A8F"/>
    <w:rsid w:val="0078183A"/>
    <w:rsid w:val="007856F3"/>
    <w:rsid w:val="00786AA8"/>
    <w:rsid w:val="007B1E63"/>
    <w:rsid w:val="007C3C8F"/>
    <w:rsid w:val="007D2F5A"/>
    <w:rsid w:val="007D6465"/>
    <w:rsid w:val="007E3014"/>
    <w:rsid w:val="007E44A5"/>
    <w:rsid w:val="007F0792"/>
    <w:rsid w:val="007F3F0C"/>
    <w:rsid w:val="00807E38"/>
    <w:rsid w:val="008103DF"/>
    <w:rsid w:val="00817455"/>
    <w:rsid w:val="00823C1B"/>
    <w:rsid w:val="00823F98"/>
    <w:rsid w:val="0083031E"/>
    <w:rsid w:val="00836654"/>
    <w:rsid w:val="00836A29"/>
    <w:rsid w:val="0084258E"/>
    <w:rsid w:val="008442F8"/>
    <w:rsid w:val="008633DC"/>
    <w:rsid w:val="0086668D"/>
    <w:rsid w:val="00867B42"/>
    <w:rsid w:val="00871DBD"/>
    <w:rsid w:val="0087741F"/>
    <w:rsid w:val="00880771"/>
    <w:rsid w:val="008B212E"/>
    <w:rsid w:val="008C0A4B"/>
    <w:rsid w:val="008C19A5"/>
    <w:rsid w:val="008E1495"/>
    <w:rsid w:val="008E24C6"/>
    <w:rsid w:val="008E30FB"/>
    <w:rsid w:val="008F17C7"/>
    <w:rsid w:val="008F6326"/>
    <w:rsid w:val="00901BFA"/>
    <w:rsid w:val="009324C5"/>
    <w:rsid w:val="00941E1E"/>
    <w:rsid w:val="00943CA8"/>
    <w:rsid w:val="00945057"/>
    <w:rsid w:val="00955231"/>
    <w:rsid w:val="009627F1"/>
    <w:rsid w:val="00970553"/>
    <w:rsid w:val="0099078F"/>
    <w:rsid w:val="009943AB"/>
    <w:rsid w:val="009B086A"/>
    <w:rsid w:val="009B3393"/>
    <w:rsid w:val="009C022F"/>
    <w:rsid w:val="009D0DEF"/>
    <w:rsid w:val="009D2A90"/>
    <w:rsid w:val="009E28E4"/>
    <w:rsid w:val="009E3299"/>
    <w:rsid w:val="009F549C"/>
    <w:rsid w:val="009F729B"/>
    <w:rsid w:val="00A03D05"/>
    <w:rsid w:val="00A1240D"/>
    <w:rsid w:val="00A12818"/>
    <w:rsid w:val="00A23DD8"/>
    <w:rsid w:val="00A55933"/>
    <w:rsid w:val="00A60045"/>
    <w:rsid w:val="00A94DD5"/>
    <w:rsid w:val="00AA39A4"/>
    <w:rsid w:val="00AA5765"/>
    <w:rsid w:val="00AD0562"/>
    <w:rsid w:val="00AD479F"/>
    <w:rsid w:val="00AD62F0"/>
    <w:rsid w:val="00AE62E4"/>
    <w:rsid w:val="00AE6D98"/>
    <w:rsid w:val="00AF0029"/>
    <w:rsid w:val="00AF23C2"/>
    <w:rsid w:val="00AF3D9E"/>
    <w:rsid w:val="00AF559D"/>
    <w:rsid w:val="00B00A79"/>
    <w:rsid w:val="00B01D5B"/>
    <w:rsid w:val="00B13391"/>
    <w:rsid w:val="00B15C88"/>
    <w:rsid w:val="00B210CD"/>
    <w:rsid w:val="00B365EC"/>
    <w:rsid w:val="00B46FD1"/>
    <w:rsid w:val="00B54946"/>
    <w:rsid w:val="00B55ABD"/>
    <w:rsid w:val="00B56F6B"/>
    <w:rsid w:val="00B62FC3"/>
    <w:rsid w:val="00B71AC8"/>
    <w:rsid w:val="00B814E3"/>
    <w:rsid w:val="00B82626"/>
    <w:rsid w:val="00B912D7"/>
    <w:rsid w:val="00B945F0"/>
    <w:rsid w:val="00BA1987"/>
    <w:rsid w:val="00BA5F00"/>
    <w:rsid w:val="00BB497D"/>
    <w:rsid w:val="00BB6130"/>
    <w:rsid w:val="00BC5739"/>
    <w:rsid w:val="00BC6579"/>
    <w:rsid w:val="00BD6998"/>
    <w:rsid w:val="00BE07BF"/>
    <w:rsid w:val="00BF7239"/>
    <w:rsid w:val="00C1166B"/>
    <w:rsid w:val="00C135B6"/>
    <w:rsid w:val="00C24F26"/>
    <w:rsid w:val="00C45193"/>
    <w:rsid w:val="00C4708A"/>
    <w:rsid w:val="00C67A4C"/>
    <w:rsid w:val="00C76916"/>
    <w:rsid w:val="00C77F81"/>
    <w:rsid w:val="00CA0D29"/>
    <w:rsid w:val="00CA1720"/>
    <w:rsid w:val="00CB4ABC"/>
    <w:rsid w:val="00CC36F3"/>
    <w:rsid w:val="00CC71AF"/>
    <w:rsid w:val="00CD4CD0"/>
    <w:rsid w:val="00D0042B"/>
    <w:rsid w:val="00D171A2"/>
    <w:rsid w:val="00D27649"/>
    <w:rsid w:val="00D34387"/>
    <w:rsid w:val="00D36DEE"/>
    <w:rsid w:val="00D43B4B"/>
    <w:rsid w:val="00D567D3"/>
    <w:rsid w:val="00D64148"/>
    <w:rsid w:val="00D65C09"/>
    <w:rsid w:val="00D717F1"/>
    <w:rsid w:val="00D75CF6"/>
    <w:rsid w:val="00D77A58"/>
    <w:rsid w:val="00D81AD7"/>
    <w:rsid w:val="00D81E1D"/>
    <w:rsid w:val="00D864D0"/>
    <w:rsid w:val="00D87109"/>
    <w:rsid w:val="00DB01B6"/>
    <w:rsid w:val="00DB051B"/>
    <w:rsid w:val="00DB1481"/>
    <w:rsid w:val="00DB1E31"/>
    <w:rsid w:val="00DB2EDE"/>
    <w:rsid w:val="00DC0406"/>
    <w:rsid w:val="00DC3828"/>
    <w:rsid w:val="00DE45CF"/>
    <w:rsid w:val="00DF238A"/>
    <w:rsid w:val="00E0688D"/>
    <w:rsid w:val="00E14459"/>
    <w:rsid w:val="00E173B3"/>
    <w:rsid w:val="00E27ADB"/>
    <w:rsid w:val="00E431D2"/>
    <w:rsid w:val="00E4390D"/>
    <w:rsid w:val="00E5434E"/>
    <w:rsid w:val="00E54EB7"/>
    <w:rsid w:val="00E676AC"/>
    <w:rsid w:val="00E81837"/>
    <w:rsid w:val="00E838AE"/>
    <w:rsid w:val="00EA1755"/>
    <w:rsid w:val="00EA1FF7"/>
    <w:rsid w:val="00EC0DC2"/>
    <w:rsid w:val="00ED291C"/>
    <w:rsid w:val="00EE2EF4"/>
    <w:rsid w:val="00EE50E9"/>
    <w:rsid w:val="00EE61C7"/>
    <w:rsid w:val="00EF0889"/>
    <w:rsid w:val="00EF11F6"/>
    <w:rsid w:val="00EF277F"/>
    <w:rsid w:val="00F04E62"/>
    <w:rsid w:val="00F060ED"/>
    <w:rsid w:val="00F2083A"/>
    <w:rsid w:val="00F37E5A"/>
    <w:rsid w:val="00F5159F"/>
    <w:rsid w:val="00F65CB1"/>
    <w:rsid w:val="00F85BF1"/>
    <w:rsid w:val="00FA42D0"/>
    <w:rsid w:val="00FB4D90"/>
    <w:rsid w:val="00FB4E8F"/>
    <w:rsid w:val="00FC55C6"/>
    <w:rsid w:val="00FD2568"/>
    <w:rsid w:val="00FD2630"/>
    <w:rsid w:val="00FD4086"/>
    <w:rsid w:val="00FE1B74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348FE"/>
  <w14:defaultImageDpi w14:val="32767"/>
  <w15:chartTrackingRefBased/>
  <w15:docId w15:val="{11F4C734-99C4-4D41-8BF3-2CB674AA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raphik LCG TT Light" w:eastAsiaTheme="minorHAnsi" w:hAnsi="Graphik LCG TT Light" w:cstheme="minorBidi"/>
        <w:color w:val="000000" w:themeColor="text1"/>
        <w:spacing w:val="4"/>
        <w:sz w:val="2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D75CF6"/>
    <w:pPr>
      <w:spacing w:line="280" w:lineRule="atLeast"/>
      <w:ind w:firstLine="567"/>
      <w:jc w:val="both"/>
    </w:p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5332E0"/>
    <w:pPr>
      <w:keepNext/>
      <w:keepLines/>
      <w:numPr>
        <w:numId w:val="4"/>
      </w:numPr>
      <w:spacing w:after="60" w:line="320" w:lineRule="exact"/>
      <w:jc w:val="left"/>
      <w:outlineLvl w:val="0"/>
    </w:pPr>
    <w:rPr>
      <w:rFonts w:eastAsiaTheme="majorEastAsia" w:cstheme="majorBidi"/>
      <w:color w:val="E52236" w:themeColor="accent1"/>
      <w:spacing w:val="0"/>
      <w:sz w:val="28"/>
      <w:szCs w:val="32"/>
    </w:rPr>
  </w:style>
  <w:style w:type="paragraph" w:styleId="berschrift2">
    <w:name w:val="heading 2"/>
    <w:aliases w:val="HEADLINE 2"/>
    <w:basedOn w:val="berschrift1"/>
    <w:next w:val="Standard"/>
    <w:link w:val="berschrift2Zchn"/>
    <w:uiPriority w:val="9"/>
    <w:unhideWhenUsed/>
    <w:qFormat/>
    <w:rsid w:val="005332E0"/>
    <w:pPr>
      <w:numPr>
        <w:ilvl w:val="1"/>
      </w:numPr>
      <w:spacing w:line="280" w:lineRule="exact"/>
      <w:outlineLvl w:val="1"/>
    </w:pPr>
    <w:rPr>
      <w:caps/>
      <w:sz w:val="21"/>
      <w:szCs w:val="26"/>
    </w:rPr>
  </w:style>
  <w:style w:type="paragraph" w:styleId="berschrift3">
    <w:name w:val="heading 3"/>
    <w:aliases w:val="HEADLINE 3"/>
    <w:basedOn w:val="berschrift2"/>
    <w:next w:val="Standard"/>
    <w:link w:val="berschrift3Zchn"/>
    <w:uiPriority w:val="9"/>
    <w:unhideWhenUsed/>
    <w:qFormat/>
    <w:rsid w:val="005332E0"/>
    <w:pPr>
      <w:numPr>
        <w:ilvl w:val="2"/>
      </w:numPr>
      <w:outlineLvl w:val="2"/>
    </w:pPr>
    <w:rPr>
      <w:bCs/>
      <w:caps w:val="0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332E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color w:val="E52236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32E0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AF14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2E0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740D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32E0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40D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32E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32E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Quellenangabe">
    <w:name w:val="Tabelle Quellenangabe"/>
    <w:basedOn w:val="Standard"/>
    <w:qFormat/>
    <w:rsid w:val="002200A9"/>
    <w:pPr>
      <w:spacing w:before="160" w:after="300" w:line="200" w:lineRule="exact"/>
      <w:ind w:firstLine="0"/>
      <w:jc w:val="left"/>
    </w:pPr>
    <w:rPr>
      <w:iCs/>
      <w:sz w:val="16"/>
      <w:szCs w:val="18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817455"/>
    <w:rPr>
      <w:rFonts w:ascii="Graphik LCG Light" w:eastAsiaTheme="majorEastAsia" w:hAnsi="Graphik LCG Light" w:cstheme="majorBidi"/>
      <w:color w:val="E52236" w:themeColor="accent1"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D3840"/>
    <w:pPr>
      <w:tabs>
        <w:tab w:val="center" w:pos="4536"/>
        <w:tab w:val="right" w:pos="9072"/>
      </w:tabs>
      <w:ind w:firstLine="0"/>
      <w:jc w:val="left"/>
    </w:pPr>
    <w:rPr>
      <w:caps/>
      <w:spacing w:val="6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D3840"/>
    <w:rPr>
      <w:rFonts w:ascii="Graphik LCG Light" w:hAnsi="Graphik LCG Light"/>
      <w:caps/>
      <w:color w:val="000000" w:themeColor="text1"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6F0B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jc w:val="right"/>
    </w:pPr>
    <w:rPr>
      <w:color w:val="E52236" w:themeColor="accent1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86F0B"/>
    <w:rPr>
      <w:rFonts w:ascii="Graphik LCG Light" w:hAnsi="Graphik LCG Light"/>
      <w:color w:val="E52236" w:themeColor="accent1"/>
      <w:spacing w:val="4"/>
    </w:rPr>
  </w:style>
  <w:style w:type="table" w:styleId="Tabellenraster">
    <w:name w:val="Table Grid"/>
    <w:basedOn w:val="NormaleTabelle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38A8"/>
    <w:pPr>
      <w:ind w:left="720"/>
      <w:contextualSpacing/>
    </w:pPr>
  </w:style>
  <w:style w:type="paragraph" w:customStyle="1" w:styleId="Subheadline">
    <w:name w:val="Subheadline"/>
    <w:basedOn w:val="Headline"/>
    <w:qFormat/>
    <w:rsid w:val="00817455"/>
    <w:pPr>
      <w:spacing w:line="320" w:lineRule="exact"/>
    </w:pPr>
    <w:rPr>
      <w:caps/>
      <w:sz w:val="28"/>
    </w:rPr>
  </w:style>
  <w:style w:type="numbering" w:styleId="111111">
    <w:name w:val="Outline List 2"/>
    <w:basedOn w:val="KeineListe"/>
    <w:uiPriority w:val="99"/>
    <w:semiHidden/>
    <w:unhideWhenUsed/>
    <w:rsid w:val="00CC71AF"/>
    <w:pPr>
      <w:numPr>
        <w:numId w:val="3"/>
      </w:numPr>
    </w:pPr>
  </w:style>
  <w:style w:type="paragraph" w:styleId="Funotentext">
    <w:name w:val="footnote text"/>
    <w:basedOn w:val="Standard"/>
    <w:link w:val="FunotentextZchn"/>
    <w:uiPriority w:val="99"/>
    <w:unhideWhenUsed/>
    <w:rsid w:val="0054028E"/>
    <w:pPr>
      <w:spacing w:after="60" w:line="160" w:lineRule="exact"/>
      <w:ind w:firstLine="0"/>
    </w:pPr>
    <w:rPr>
      <w:rFonts w:ascii="Graphik LCG" w:hAnsi="Graphik LCG"/>
      <w:sz w:val="13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028E"/>
    <w:rPr>
      <w:rFonts w:ascii="Graphik LCG" w:hAnsi="Graphik LCG"/>
      <w:color w:val="000000" w:themeColor="text1"/>
      <w:spacing w:val="4"/>
      <w:sz w:val="13"/>
    </w:rPr>
  </w:style>
  <w:style w:type="character" w:styleId="Funotenzeichen">
    <w:name w:val="footnote reference"/>
    <w:basedOn w:val="Absatz-Standardschriftart"/>
    <w:uiPriority w:val="99"/>
    <w:unhideWhenUsed/>
    <w:rsid w:val="00486F0B"/>
    <w:rPr>
      <w:rFonts w:ascii="Graphik LCG Light" w:hAnsi="Graphik LCG Light"/>
      <w:b w:val="0"/>
      <w:bCs w:val="0"/>
      <w:i w:val="0"/>
      <w:iCs w:val="0"/>
      <w:sz w:val="16"/>
      <w:vertAlign w:val="superscript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5332E0"/>
    <w:rPr>
      <w:rFonts w:ascii="Graphik LCG Light" w:eastAsiaTheme="majorEastAsia" w:hAnsi="Graphik LCG Light" w:cstheme="majorBidi"/>
      <w:caps/>
      <w:color w:val="E52236" w:themeColor="accent1"/>
      <w:sz w:val="21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5332E0"/>
    <w:rPr>
      <w:rFonts w:ascii="Graphik LCG Light" w:eastAsiaTheme="majorEastAsia" w:hAnsi="Graphik LCG Light" w:cstheme="majorBidi"/>
      <w:bCs/>
      <w:color w:val="000000" w:themeColor="text1"/>
      <w:sz w:val="21"/>
      <w:szCs w:val="26"/>
    </w:rPr>
  </w:style>
  <w:style w:type="paragraph" w:styleId="Inhaltsverzeichnisberschrift">
    <w:name w:val="TOC Heading"/>
    <w:basedOn w:val="Headline"/>
    <w:next w:val="Standard"/>
    <w:uiPriority w:val="39"/>
    <w:unhideWhenUsed/>
    <w:rsid w:val="00FC55C6"/>
    <w:pPr>
      <w:spacing w:before="480" w:line="276" w:lineRule="auto"/>
      <w:jc w:val="left"/>
    </w:pPr>
    <w:rPr>
      <w:szCs w:val="28"/>
      <w:lang w:val="en-GB" w:eastAsia="de-DE"/>
    </w:rPr>
  </w:style>
  <w:style w:type="paragraph" w:styleId="Verzeichnis1">
    <w:name w:val="toc 1"/>
    <w:basedOn w:val="Standard"/>
    <w:uiPriority w:val="39"/>
    <w:unhideWhenUsed/>
    <w:rsid w:val="00EE2EF4"/>
    <w:pPr>
      <w:tabs>
        <w:tab w:val="left" w:pos="567"/>
      </w:tabs>
      <w:spacing w:before="120" w:line="320" w:lineRule="exact"/>
      <w:ind w:firstLine="0"/>
      <w:jc w:val="left"/>
    </w:pPr>
    <w:rPr>
      <w:rFonts w:cstheme="minorHAnsi"/>
      <w:bCs/>
      <w:color w:val="E52236" w:themeColor="accent1"/>
    </w:rPr>
  </w:style>
  <w:style w:type="paragraph" w:styleId="Verzeichnis2">
    <w:name w:val="toc 2"/>
    <w:basedOn w:val="Standard"/>
    <w:next w:val="Standard"/>
    <w:uiPriority w:val="39"/>
    <w:unhideWhenUsed/>
    <w:rsid w:val="00EE2EF4"/>
    <w:pPr>
      <w:tabs>
        <w:tab w:val="left" w:pos="567"/>
      </w:tabs>
      <w:ind w:firstLine="0"/>
      <w:jc w:val="left"/>
    </w:pPr>
    <w:rPr>
      <w:rFonts w:cstheme="minorHAnsi"/>
      <w:bCs/>
      <w:szCs w:val="22"/>
    </w:rPr>
  </w:style>
  <w:style w:type="paragraph" w:styleId="Verzeichnis3">
    <w:name w:val="toc 3"/>
    <w:basedOn w:val="Standard"/>
    <w:uiPriority w:val="39"/>
    <w:unhideWhenUsed/>
    <w:rsid w:val="00EE2EF4"/>
    <w:pPr>
      <w:tabs>
        <w:tab w:val="left" w:pos="567"/>
      </w:tabs>
      <w:ind w:left="567" w:firstLine="0"/>
      <w:jc w:val="left"/>
    </w:pPr>
    <w:rPr>
      <w:rFonts w:cstheme="minorHAnsi"/>
      <w:szCs w:val="22"/>
    </w:rPr>
  </w:style>
  <w:style w:type="character" w:styleId="Hyperlink">
    <w:name w:val="Hyperlink"/>
    <w:basedOn w:val="Absatz-Standardschriftart"/>
    <w:uiPriority w:val="99"/>
    <w:unhideWhenUsed/>
    <w:qFormat/>
    <w:rsid w:val="00817455"/>
    <w:rPr>
      <w:rFonts w:ascii="Graphik LCG Light" w:hAnsi="Graphik LCG Light"/>
      <w:b w:val="0"/>
      <w:bCs w:val="0"/>
      <w:i w:val="0"/>
      <w:iCs w:val="0"/>
      <w:color w:val="E52236" w:themeColor="accent1"/>
      <w:sz w:val="21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324C5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324C5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324C5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324C5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324C5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324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Headline">
    <w:name w:val="Headline"/>
    <w:basedOn w:val="Standard"/>
    <w:qFormat/>
    <w:rsid w:val="00817455"/>
    <w:pPr>
      <w:spacing w:line="680" w:lineRule="exact"/>
      <w:ind w:firstLine="0"/>
      <w:contextualSpacing/>
      <w:jc w:val="center"/>
    </w:pPr>
    <w:rPr>
      <w:color w:val="E52236" w:themeColor="accent1"/>
      <w:sz w:val="6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6F0B"/>
    <w:rPr>
      <w:rFonts w:ascii="Graphik LCG Light" w:eastAsiaTheme="majorEastAsia" w:hAnsi="Graphik LCG Light" w:cstheme="majorBidi"/>
      <w:color w:val="E52236" w:themeColor="accent1"/>
      <w:spacing w:val="4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4E8F"/>
    <w:rPr>
      <w:rFonts w:asciiTheme="majorHAnsi" w:eastAsiaTheme="majorEastAsia" w:hAnsiTheme="majorHAnsi" w:cstheme="majorBidi"/>
      <w:color w:val="AF1424" w:themeColor="accent1" w:themeShade="BF"/>
      <w:spacing w:val="4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4E8F"/>
    <w:rPr>
      <w:rFonts w:asciiTheme="majorHAnsi" w:eastAsiaTheme="majorEastAsia" w:hAnsiTheme="majorHAnsi" w:cstheme="majorBidi"/>
      <w:color w:val="740D18" w:themeColor="accent1" w:themeShade="7F"/>
      <w:spacing w:val="4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4E8F"/>
    <w:rPr>
      <w:rFonts w:asciiTheme="majorHAnsi" w:eastAsiaTheme="majorEastAsia" w:hAnsiTheme="majorHAnsi" w:cstheme="majorBidi"/>
      <w:i/>
      <w:iCs/>
      <w:color w:val="740D18" w:themeColor="accent1" w:themeShade="7F"/>
      <w:spacing w:val="4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4E8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4E8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customStyle="1" w:styleId="TabelleTitel">
    <w:name w:val="Tabelle Titel"/>
    <w:basedOn w:val="Standard"/>
    <w:qFormat/>
    <w:rsid w:val="007856F3"/>
    <w:pPr>
      <w:spacing w:before="280" w:after="100"/>
      <w:ind w:firstLine="0"/>
      <w:jc w:val="left"/>
    </w:pPr>
    <w:rPr>
      <w:caps/>
      <w:color w:val="E52236" w:themeColor="accent1"/>
    </w:rPr>
  </w:style>
  <w:style w:type="paragraph" w:customStyle="1" w:styleId="TabelleTextRot">
    <w:name w:val="Tabelle Text Rot"/>
    <w:basedOn w:val="TabelleTextSchwarz"/>
    <w:qFormat/>
    <w:rsid w:val="00BA5F00"/>
    <w:pPr>
      <w:spacing w:line="240" w:lineRule="auto"/>
    </w:pPr>
    <w:rPr>
      <w:color w:val="E52236" w:themeColor="accent1"/>
    </w:rPr>
  </w:style>
  <w:style w:type="paragraph" w:customStyle="1" w:styleId="TabelleTextSchwarz">
    <w:name w:val="Tabelle Text Schwarz"/>
    <w:basedOn w:val="Standard"/>
    <w:qFormat/>
    <w:rsid w:val="00BA5F00"/>
    <w:pPr>
      <w:spacing w:line="240" w:lineRule="exact"/>
      <w:ind w:firstLine="0"/>
      <w:jc w:val="right"/>
    </w:pPr>
    <w:rPr>
      <w:rFonts w:ascii="Graphik LCG" w:hAnsi="Graphik LCG"/>
      <w:sz w:val="18"/>
    </w:rPr>
  </w:style>
  <w:style w:type="paragraph" w:customStyle="1" w:styleId="HeadlineDeckblatt">
    <w:name w:val="Headline Deckblatt"/>
    <w:basedOn w:val="Headline"/>
    <w:qFormat/>
    <w:rsid w:val="00817455"/>
    <w:pPr>
      <w:spacing w:line="1520" w:lineRule="exact"/>
    </w:pPr>
    <w:rPr>
      <w:sz w:val="140"/>
    </w:rPr>
  </w:style>
  <w:style w:type="character" w:styleId="Hervorhebung">
    <w:name w:val="Emphasis"/>
    <w:basedOn w:val="Absatz-Standardschriftart"/>
    <w:uiPriority w:val="20"/>
    <w:qFormat/>
    <w:rsid w:val="006B6449"/>
    <w:rPr>
      <w:rFonts w:ascii="Graphik LCG Light" w:hAnsi="Graphik LCG Light"/>
      <w:b w:val="0"/>
      <w:i w:val="0"/>
      <w:iCs/>
      <w:color w:val="E52236" w:themeColor="accent1"/>
      <w:sz w:val="21"/>
      <w:u w:val="none"/>
    </w:rPr>
  </w:style>
  <w:style w:type="paragraph" w:customStyle="1" w:styleId="Aufzhlung">
    <w:name w:val="Aufzählung"/>
    <w:basedOn w:val="Standard"/>
    <w:qFormat/>
    <w:rsid w:val="003865DB"/>
    <w:pPr>
      <w:numPr>
        <w:numId w:val="41"/>
      </w:numPr>
      <w:spacing w:after="120"/>
    </w:pPr>
    <w:rPr>
      <w:lang w:val="en-US"/>
    </w:rPr>
  </w:style>
  <w:style w:type="paragraph" w:customStyle="1" w:styleId="Nummerierung">
    <w:name w:val="Nummerierung"/>
    <w:basedOn w:val="Aufzhlung"/>
    <w:qFormat/>
    <w:rsid w:val="003865DB"/>
    <w:pPr>
      <w:numPr>
        <w:numId w:val="38"/>
      </w:numPr>
    </w:pPr>
  </w:style>
  <w:style w:type="paragraph" w:customStyle="1" w:styleId="Bildunterschrift">
    <w:name w:val="Bildunterschrift"/>
    <w:basedOn w:val="TabelleQuellenangabe"/>
    <w:qFormat/>
    <w:rsid w:val="002200A9"/>
    <w:rPr>
      <w:color w:val="E52236" w:themeColor="accent1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EA1FF7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D75CF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5CF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5CF6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5C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5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5CF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75CF6"/>
    <w:rPr>
      <w:i/>
      <w:iCs/>
      <w:color w:val="AF1424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5CF6"/>
    <w:pPr>
      <w:pBdr>
        <w:top w:val="single" w:sz="4" w:space="10" w:color="AF1424" w:themeColor="accent1" w:themeShade="BF"/>
        <w:bottom w:val="single" w:sz="4" w:space="10" w:color="AF1424" w:themeColor="accent1" w:themeShade="BF"/>
      </w:pBdr>
      <w:spacing w:before="360" w:after="360"/>
      <w:ind w:left="864" w:right="864"/>
      <w:jc w:val="center"/>
    </w:pPr>
    <w:rPr>
      <w:i/>
      <w:iCs/>
      <w:color w:val="AF1424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5CF6"/>
    <w:rPr>
      <w:i/>
      <w:iCs/>
      <w:color w:val="AF1424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5CF6"/>
    <w:rPr>
      <w:b/>
      <w:bCs/>
      <w:smallCaps/>
      <w:color w:val="AF1424" w:themeColor="accent1" w:themeShade="BF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09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D0942"/>
    <w:rPr>
      <w:color w:val="D5D5D5" w:themeColor="followedHyperlink"/>
      <w:u w:val="single"/>
    </w:rPr>
  </w:style>
  <w:style w:type="paragraph" w:styleId="berarbeitung">
    <w:name w:val="Revision"/>
    <w:hidden/>
    <w:uiPriority w:val="99"/>
    <w:semiHidden/>
    <w:rsid w:val="008E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wien.info/de/newsroom/corporate-news/statistik-februar-2025-86994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-therese.tropsch@wien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alter.strasser@wien.in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2b.wien.info/de/statistik/daten/statistik-aktuel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WT_Farbpalette 1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E52236"/>
      </a:accent1>
      <a:accent2>
        <a:srgbClr val="424242"/>
      </a:accent2>
      <a:accent3>
        <a:srgbClr val="797979"/>
      </a:accent3>
      <a:accent4>
        <a:srgbClr val="A9A9A9"/>
      </a:accent4>
      <a:accent5>
        <a:srgbClr val="D5D5D5"/>
      </a:accent5>
      <a:accent6>
        <a:srgbClr val="EAEAEA"/>
      </a:accent6>
      <a:hlink>
        <a:srgbClr val="797979"/>
      </a:hlink>
      <a:folHlink>
        <a:srgbClr val="D5D5D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FA4AA0-521F-4BB0-8193-04E7BEAF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WienTourismus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WienTourismus</dc:title>
  <dc:subject/>
  <dc:creator>Langbauer, Lena</dc:creator>
  <cp:keywords/>
  <dc:description/>
  <cp:lastModifiedBy>Langbauer, Lena</cp:lastModifiedBy>
  <cp:revision>35</cp:revision>
  <cp:lastPrinted>2016-10-12T11:52:00Z</cp:lastPrinted>
  <dcterms:created xsi:type="dcterms:W3CDTF">2025-03-20T09:33:00Z</dcterms:created>
  <dcterms:modified xsi:type="dcterms:W3CDTF">2025-03-21T10:20:00Z</dcterms:modified>
</cp:coreProperties>
</file>