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84E9" w14:textId="04237A0F" w:rsidR="00E3719B" w:rsidRDefault="00E3719B" w:rsidP="00EA52F2">
      <w:pPr>
        <w:ind w:firstLine="0"/>
        <w:jc w:val="left"/>
        <w:rPr>
          <w:rFonts w:asciiTheme="majorHAnsi" w:hAnsiTheme="majorHAnsi" w:cstheme="majorHAnsi"/>
          <w:b/>
          <w:bCs/>
          <w:sz w:val="28"/>
          <w:szCs w:val="28"/>
          <w:lang w:val="de-AT"/>
        </w:rPr>
      </w:pPr>
      <w:r w:rsidRPr="00E3719B"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Wien: </w:t>
      </w:r>
      <w:r>
        <w:rPr>
          <w:rFonts w:asciiTheme="majorHAnsi" w:hAnsiTheme="majorHAnsi" w:cstheme="majorHAnsi"/>
          <w:b/>
          <w:bCs/>
          <w:sz w:val="28"/>
          <w:szCs w:val="28"/>
          <w:lang w:val="de-AT"/>
        </w:rPr>
        <w:t>1,5</w:t>
      </w:r>
      <w:r w:rsidRPr="00E3719B"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 Mio. Nächtigungen im </w:t>
      </w:r>
      <w:r>
        <w:rPr>
          <w:rFonts w:asciiTheme="majorHAnsi" w:hAnsiTheme="majorHAnsi" w:cstheme="majorHAnsi"/>
          <w:b/>
          <w:bCs/>
          <w:sz w:val="28"/>
          <w:szCs w:val="28"/>
          <w:lang w:val="de-AT"/>
        </w:rPr>
        <w:t>November</w:t>
      </w:r>
      <w:r w:rsidRPr="00E3719B"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, </w:t>
      </w:r>
      <w:r>
        <w:rPr>
          <w:rFonts w:asciiTheme="majorHAnsi" w:hAnsiTheme="majorHAnsi" w:cstheme="majorHAnsi"/>
          <w:b/>
          <w:bCs/>
          <w:sz w:val="28"/>
          <w:szCs w:val="28"/>
          <w:lang w:val="de-AT"/>
        </w:rPr>
        <w:t>Oktober</w:t>
      </w:r>
      <w:r w:rsidRPr="00E3719B"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-Umsatz bei </w:t>
      </w:r>
      <w:r>
        <w:rPr>
          <w:rFonts w:asciiTheme="majorHAnsi" w:hAnsiTheme="majorHAnsi" w:cstheme="majorHAnsi"/>
          <w:b/>
          <w:bCs/>
          <w:sz w:val="28"/>
          <w:szCs w:val="28"/>
          <w:lang w:val="de-AT"/>
        </w:rPr>
        <w:t>124</w:t>
      </w:r>
      <w:r w:rsidRPr="00E3719B">
        <w:rPr>
          <w:rFonts w:asciiTheme="majorHAnsi" w:hAnsiTheme="majorHAnsi" w:cstheme="majorHAnsi"/>
          <w:b/>
          <w:bCs/>
          <w:sz w:val="28"/>
          <w:szCs w:val="28"/>
          <w:lang w:val="de-AT"/>
        </w:rPr>
        <w:t xml:space="preserve"> Mio. Euro</w:t>
      </w:r>
    </w:p>
    <w:p w14:paraId="5992266A" w14:textId="77777777" w:rsidR="00E3719B" w:rsidRDefault="00E3719B" w:rsidP="00EA52F2">
      <w:pPr>
        <w:ind w:firstLine="0"/>
        <w:jc w:val="left"/>
        <w:rPr>
          <w:rFonts w:asciiTheme="majorHAnsi" w:hAnsiTheme="majorHAnsi" w:cstheme="majorHAnsi"/>
          <w:b/>
          <w:bCs/>
          <w:szCs w:val="21"/>
          <w:lang w:val="de-AT"/>
        </w:rPr>
      </w:pPr>
    </w:p>
    <w:p w14:paraId="6640E262" w14:textId="5CC2C724" w:rsidR="00E3719B" w:rsidRDefault="00E3719B" w:rsidP="00EA52F2">
      <w:pPr>
        <w:ind w:firstLine="0"/>
        <w:jc w:val="left"/>
        <w:rPr>
          <w:rFonts w:asciiTheme="majorHAnsi" w:hAnsiTheme="majorHAnsi" w:cstheme="majorHAnsi"/>
          <w:b/>
          <w:bCs/>
          <w:i/>
          <w:iCs/>
          <w:szCs w:val="21"/>
          <w:lang w:val="de-AT"/>
        </w:rPr>
      </w:pPr>
      <w:r>
        <w:rPr>
          <w:rFonts w:asciiTheme="majorHAnsi" w:hAnsiTheme="majorHAnsi" w:cstheme="majorHAnsi"/>
          <w:b/>
          <w:bCs/>
          <w:i/>
          <w:iCs/>
          <w:szCs w:val="21"/>
          <w:lang w:val="de-AT"/>
        </w:rPr>
        <w:t xml:space="preserve">19.12.2024 – 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Der heurige </w:t>
      </w:r>
      <w:r>
        <w:rPr>
          <w:rFonts w:asciiTheme="majorHAnsi" w:hAnsiTheme="majorHAnsi" w:cstheme="majorHAnsi"/>
          <w:b/>
          <w:bCs/>
          <w:i/>
          <w:iCs/>
          <w:szCs w:val="21"/>
        </w:rPr>
        <w:t>November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erreichte mit rund 1,</w:t>
      </w:r>
      <w:r>
        <w:rPr>
          <w:rFonts w:asciiTheme="majorHAnsi" w:hAnsiTheme="majorHAnsi" w:cstheme="majorHAnsi"/>
          <w:b/>
          <w:bCs/>
          <w:i/>
          <w:iCs/>
          <w:szCs w:val="21"/>
        </w:rPr>
        <w:t>5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Millionen Übernachtungen ein Plus von </w:t>
      </w:r>
      <w:r>
        <w:rPr>
          <w:rFonts w:asciiTheme="majorHAnsi" w:hAnsiTheme="majorHAnsi" w:cstheme="majorHAnsi"/>
          <w:b/>
          <w:bCs/>
          <w:i/>
          <w:iCs/>
          <w:szCs w:val="21"/>
        </w:rPr>
        <w:t>12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% im Vergleich zum Vorjahr. Von Jänner bis </w:t>
      </w:r>
      <w:r>
        <w:rPr>
          <w:rFonts w:asciiTheme="majorHAnsi" w:hAnsiTheme="majorHAnsi" w:cstheme="majorHAnsi"/>
          <w:b/>
          <w:bCs/>
          <w:i/>
          <w:iCs/>
          <w:szCs w:val="21"/>
        </w:rPr>
        <w:t>November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wurden </w:t>
      </w:r>
      <w:r>
        <w:rPr>
          <w:rFonts w:asciiTheme="majorHAnsi" w:hAnsiTheme="majorHAnsi" w:cstheme="majorHAnsi"/>
          <w:b/>
          <w:bCs/>
          <w:i/>
          <w:iCs/>
          <w:szCs w:val="21"/>
        </w:rPr>
        <w:t>rund 17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Millionen Gästenächtigungen (+9%) gezählt. Der Netto-Nächtigungsumsatz der Wiener Beherbergungsbetriebe betrug im heurigen 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Oktober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124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Millionen Euro (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+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>1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1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%), zwischen Jänner und 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Oktober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erwirtschafteten sie rund 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1,1 Milliarden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 xml:space="preserve"> Euro (+1</w:t>
      </w:r>
      <w:r w:rsidR="001B5007">
        <w:rPr>
          <w:rFonts w:asciiTheme="majorHAnsi" w:hAnsiTheme="majorHAnsi" w:cstheme="majorHAnsi"/>
          <w:b/>
          <w:bCs/>
          <w:i/>
          <w:iCs/>
          <w:szCs w:val="21"/>
        </w:rPr>
        <w:t>2</w:t>
      </w:r>
      <w:r w:rsidRPr="00E3719B">
        <w:rPr>
          <w:rFonts w:asciiTheme="majorHAnsi" w:hAnsiTheme="majorHAnsi" w:cstheme="majorHAnsi"/>
          <w:b/>
          <w:bCs/>
          <w:i/>
          <w:iCs/>
          <w:szCs w:val="21"/>
        </w:rPr>
        <w:t>%).</w:t>
      </w:r>
    </w:p>
    <w:p w14:paraId="1E567CAA" w14:textId="77777777" w:rsidR="00E3719B" w:rsidRDefault="00E3719B" w:rsidP="00EA52F2">
      <w:pPr>
        <w:ind w:firstLine="0"/>
        <w:jc w:val="left"/>
        <w:rPr>
          <w:rFonts w:asciiTheme="majorHAnsi" w:hAnsiTheme="majorHAnsi" w:cstheme="majorHAnsi"/>
          <w:b/>
          <w:bCs/>
          <w:szCs w:val="21"/>
          <w:lang w:val="de-AT"/>
        </w:rPr>
      </w:pPr>
    </w:p>
    <w:p w14:paraId="6C994584" w14:textId="474FC67B" w:rsidR="001B5007" w:rsidRDefault="001B5007" w:rsidP="001B5007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  <w:r w:rsidRPr="001B5007">
        <w:rPr>
          <w:rFonts w:asciiTheme="majorHAnsi" w:hAnsiTheme="majorHAnsi" w:cstheme="majorHAnsi"/>
          <w:szCs w:val="21"/>
          <w:lang w:val="de-AT"/>
        </w:rPr>
        <w:t xml:space="preserve">Den </w:t>
      </w:r>
      <w:r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2024 schloss Wien mit 1.</w:t>
      </w:r>
      <w:r>
        <w:rPr>
          <w:rFonts w:asciiTheme="majorHAnsi" w:hAnsiTheme="majorHAnsi" w:cstheme="majorHAnsi"/>
          <w:szCs w:val="21"/>
          <w:lang w:val="de-AT"/>
        </w:rPr>
        <w:t>540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.000 Nächtigungen und einem Plus von </w:t>
      </w:r>
      <w:r>
        <w:rPr>
          <w:rFonts w:asciiTheme="majorHAnsi" w:hAnsiTheme="majorHAnsi" w:cstheme="majorHAnsi"/>
          <w:szCs w:val="21"/>
          <w:lang w:val="de-AT"/>
        </w:rPr>
        <w:t>12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 zum Vergleichsmonat 2023 ab. Zwischen Jänner und </w:t>
      </w:r>
      <w:r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verzeichnete die Bundeshauptstadt </w:t>
      </w:r>
      <w:r>
        <w:rPr>
          <w:rFonts w:asciiTheme="majorHAnsi" w:hAnsiTheme="majorHAnsi" w:cstheme="majorHAnsi"/>
          <w:szCs w:val="21"/>
          <w:lang w:val="de-AT"/>
        </w:rPr>
        <w:t>16</w:t>
      </w:r>
      <w:r w:rsidRPr="001B5007">
        <w:rPr>
          <w:rFonts w:asciiTheme="majorHAnsi" w:hAnsiTheme="majorHAnsi" w:cstheme="majorHAnsi"/>
          <w:szCs w:val="21"/>
          <w:lang w:val="de-AT"/>
        </w:rPr>
        <w:t>.</w:t>
      </w:r>
      <w:r>
        <w:rPr>
          <w:rFonts w:asciiTheme="majorHAnsi" w:hAnsiTheme="majorHAnsi" w:cstheme="majorHAnsi"/>
          <w:szCs w:val="21"/>
          <w:lang w:val="de-AT"/>
        </w:rPr>
        <w:t>854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.000 Übernachtungen – das bedeutet einen Zuwachs von 9% zum Vergleichszeitraum des Vorjahres. Mit </w:t>
      </w:r>
      <w:r>
        <w:rPr>
          <w:rFonts w:asciiTheme="majorHAnsi" w:hAnsiTheme="majorHAnsi" w:cstheme="majorHAnsi"/>
          <w:szCs w:val="21"/>
          <w:lang w:val="de-AT"/>
        </w:rPr>
        <w:t>239.000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Übernachtungen (+</w:t>
      </w:r>
      <w:r>
        <w:rPr>
          <w:rFonts w:asciiTheme="majorHAnsi" w:hAnsiTheme="majorHAnsi" w:cstheme="majorHAnsi"/>
          <w:szCs w:val="21"/>
          <w:lang w:val="de-AT"/>
        </w:rPr>
        <w:t>2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%) im </w:t>
      </w:r>
      <w:r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</w:t>
      </w:r>
      <w:r w:rsidR="00482A09" w:rsidRPr="001B5007">
        <w:rPr>
          <w:rFonts w:asciiTheme="majorHAnsi" w:hAnsiTheme="majorHAnsi" w:cstheme="majorHAnsi"/>
          <w:szCs w:val="21"/>
          <w:lang w:val="de-AT"/>
        </w:rPr>
        <w:t xml:space="preserve">führt Deutschland </w:t>
      </w:r>
      <w:r w:rsidRPr="001B5007">
        <w:rPr>
          <w:rFonts w:asciiTheme="majorHAnsi" w:hAnsiTheme="majorHAnsi" w:cstheme="majorHAnsi"/>
          <w:szCs w:val="21"/>
          <w:lang w:val="de-AT"/>
        </w:rPr>
        <w:t>weiterhin die Liste der Top-10-Märkte an, gefolgt von Österreich (</w:t>
      </w:r>
      <w:r>
        <w:rPr>
          <w:rFonts w:asciiTheme="majorHAnsi" w:hAnsiTheme="majorHAnsi" w:cstheme="majorHAnsi"/>
          <w:szCs w:val="21"/>
          <w:lang w:val="de-AT"/>
        </w:rPr>
        <w:t>309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5</w:t>
      </w:r>
      <w:r w:rsidRPr="001B5007">
        <w:rPr>
          <w:rFonts w:asciiTheme="majorHAnsi" w:hAnsiTheme="majorHAnsi" w:cstheme="majorHAnsi"/>
          <w:szCs w:val="21"/>
          <w:lang w:val="de-AT"/>
        </w:rPr>
        <w:t>%), den USA (</w:t>
      </w:r>
      <w:r>
        <w:rPr>
          <w:rFonts w:asciiTheme="majorHAnsi" w:hAnsiTheme="majorHAnsi" w:cstheme="majorHAnsi"/>
          <w:szCs w:val="21"/>
          <w:lang w:val="de-AT"/>
        </w:rPr>
        <w:t>87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11</w:t>
      </w:r>
      <w:r w:rsidRPr="001B5007">
        <w:rPr>
          <w:rFonts w:asciiTheme="majorHAnsi" w:hAnsiTheme="majorHAnsi" w:cstheme="majorHAnsi"/>
          <w:szCs w:val="21"/>
          <w:lang w:val="de-AT"/>
        </w:rPr>
        <w:t>%), Italien (</w:t>
      </w:r>
      <w:r>
        <w:rPr>
          <w:rFonts w:asciiTheme="majorHAnsi" w:hAnsiTheme="majorHAnsi" w:cstheme="majorHAnsi"/>
          <w:szCs w:val="21"/>
          <w:lang w:val="de-AT"/>
        </w:rPr>
        <w:t>90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19</w:t>
      </w:r>
      <w:r w:rsidRPr="001B5007">
        <w:rPr>
          <w:rFonts w:asciiTheme="majorHAnsi" w:hAnsiTheme="majorHAnsi" w:cstheme="majorHAnsi"/>
          <w:szCs w:val="21"/>
          <w:lang w:val="de-AT"/>
        </w:rPr>
        <w:t>%), Großbritannien (</w:t>
      </w:r>
      <w:r>
        <w:rPr>
          <w:rFonts w:asciiTheme="majorHAnsi" w:hAnsiTheme="majorHAnsi" w:cstheme="majorHAnsi"/>
          <w:szCs w:val="21"/>
          <w:lang w:val="de-AT"/>
        </w:rPr>
        <w:t>75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10</w:t>
      </w:r>
      <w:r w:rsidRPr="001B5007">
        <w:rPr>
          <w:rFonts w:asciiTheme="majorHAnsi" w:hAnsiTheme="majorHAnsi" w:cstheme="majorHAnsi"/>
          <w:szCs w:val="21"/>
          <w:lang w:val="de-AT"/>
        </w:rPr>
        <w:t>%), Spanien (</w:t>
      </w:r>
      <w:r>
        <w:rPr>
          <w:rFonts w:asciiTheme="majorHAnsi" w:hAnsiTheme="majorHAnsi" w:cstheme="majorHAnsi"/>
          <w:szCs w:val="21"/>
          <w:lang w:val="de-AT"/>
        </w:rPr>
        <w:t>60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25</w:t>
      </w:r>
      <w:r w:rsidRPr="001B5007">
        <w:rPr>
          <w:rFonts w:asciiTheme="majorHAnsi" w:hAnsiTheme="majorHAnsi" w:cstheme="majorHAnsi"/>
          <w:szCs w:val="21"/>
          <w:lang w:val="de-AT"/>
        </w:rPr>
        <w:t>%), Frankreich (</w:t>
      </w:r>
      <w:r>
        <w:rPr>
          <w:rFonts w:asciiTheme="majorHAnsi" w:hAnsiTheme="majorHAnsi" w:cstheme="majorHAnsi"/>
          <w:szCs w:val="21"/>
          <w:lang w:val="de-AT"/>
        </w:rPr>
        <w:t>39</w:t>
      </w:r>
      <w:r w:rsidRPr="001B5007">
        <w:rPr>
          <w:rFonts w:asciiTheme="majorHAnsi" w:hAnsiTheme="majorHAnsi" w:cstheme="majorHAnsi"/>
          <w:szCs w:val="21"/>
          <w:lang w:val="de-AT"/>
        </w:rPr>
        <w:t>.000, +1</w:t>
      </w:r>
      <w:r>
        <w:rPr>
          <w:rFonts w:asciiTheme="majorHAnsi" w:hAnsiTheme="majorHAnsi" w:cstheme="majorHAnsi"/>
          <w:szCs w:val="21"/>
          <w:lang w:val="de-AT"/>
        </w:rPr>
        <w:t>2</w:t>
      </w:r>
      <w:r w:rsidRPr="001B5007">
        <w:rPr>
          <w:rFonts w:asciiTheme="majorHAnsi" w:hAnsiTheme="majorHAnsi" w:cstheme="majorHAnsi"/>
          <w:szCs w:val="21"/>
          <w:lang w:val="de-AT"/>
        </w:rPr>
        <w:t>%), Polen (3</w:t>
      </w:r>
      <w:r>
        <w:rPr>
          <w:rFonts w:asciiTheme="majorHAnsi" w:hAnsiTheme="majorHAnsi" w:cstheme="majorHAnsi"/>
          <w:szCs w:val="21"/>
          <w:lang w:val="de-AT"/>
        </w:rPr>
        <w:t>5</w:t>
      </w:r>
      <w:r w:rsidRPr="001B5007">
        <w:rPr>
          <w:rFonts w:asciiTheme="majorHAnsi" w:hAnsiTheme="majorHAnsi" w:cstheme="majorHAnsi"/>
          <w:szCs w:val="21"/>
          <w:lang w:val="de-AT"/>
        </w:rPr>
        <w:t>.000, +30%), der Schweiz (</w:t>
      </w:r>
      <w:r>
        <w:rPr>
          <w:rFonts w:asciiTheme="majorHAnsi" w:hAnsiTheme="majorHAnsi" w:cstheme="majorHAnsi"/>
          <w:szCs w:val="21"/>
          <w:lang w:val="de-AT"/>
        </w:rPr>
        <w:t>30</w:t>
      </w:r>
      <w:r w:rsidRPr="001B5007">
        <w:rPr>
          <w:rFonts w:asciiTheme="majorHAnsi" w:hAnsiTheme="majorHAnsi" w:cstheme="majorHAnsi"/>
          <w:szCs w:val="21"/>
          <w:lang w:val="de-AT"/>
        </w:rPr>
        <w:t>.000, +</w:t>
      </w:r>
      <w:r>
        <w:rPr>
          <w:rFonts w:asciiTheme="majorHAnsi" w:hAnsiTheme="majorHAnsi" w:cstheme="majorHAnsi"/>
          <w:szCs w:val="21"/>
          <w:lang w:val="de-AT"/>
        </w:rPr>
        <w:t>7</w:t>
      </w:r>
      <w:r w:rsidRPr="001B5007">
        <w:rPr>
          <w:rFonts w:asciiTheme="majorHAnsi" w:hAnsiTheme="majorHAnsi" w:cstheme="majorHAnsi"/>
          <w:szCs w:val="21"/>
          <w:lang w:val="de-AT"/>
        </w:rPr>
        <w:t>%) und Rumänien (</w:t>
      </w:r>
      <w:r>
        <w:rPr>
          <w:rFonts w:asciiTheme="majorHAnsi" w:hAnsiTheme="majorHAnsi" w:cstheme="majorHAnsi"/>
          <w:szCs w:val="21"/>
          <w:lang w:val="de-AT"/>
        </w:rPr>
        <w:t>38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.000, </w:t>
      </w:r>
      <w:r>
        <w:rPr>
          <w:rFonts w:asciiTheme="majorHAnsi" w:hAnsiTheme="majorHAnsi" w:cstheme="majorHAnsi"/>
          <w:szCs w:val="21"/>
          <w:lang w:val="de-AT"/>
        </w:rPr>
        <w:t>-8</w:t>
      </w:r>
      <w:r w:rsidRPr="001B5007">
        <w:rPr>
          <w:rFonts w:asciiTheme="majorHAnsi" w:hAnsiTheme="majorHAnsi" w:cstheme="majorHAnsi"/>
          <w:szCs w:val="21"/>
          <w:lang w:val="de-AT"/>
        </w:rPr>
        <w:t>%).</w:t>
      </w:r>
    </w:p>
    <w:p w14:paraId="3A649B42" w14:textId="77777777" w:rsidR="00745C5A" w:rsidRPr="001B5007" w:rsidRDefault="00745C5A" w:rsidP="001B5007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</w:p>
    <w:p w14:paraId="4F0CC7FF" w14:textId="20A692A2" w:rsidR="001B5007" w:rsidRDefault="001B5007" w:rsidP="001B5007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  <w:r w:rsidRPr="001B5007">
        <w:rPr>
          <w:rFonts w:asciiTheme="majorHAnsi" w:hAnsiTheme="majorHAnsi" w:cstheme="majorHAnsi"/>
          <w:szCs w:val="21"/>
          <w:lang w:val="de-AT"/>
        </w:rPr>
        <w:t xml:space="preserve">Der Netto-Nächtigungsumsatz von Wiens Beherbergungsbetrieben betrug im </w:t>
      </w:r>
      <w:r w:rsidR="00745C5A">
        <w:rPr>
          <w:rFonts w:asciiTheme="majorHAnsi" w:hAnsiTheme="majorHAnsi" w:cstheme="majorHAnsi"/>
          <w:szCs w:val="21"/>
          <w:lang w:val="de-AT"/>
        </w:rPr>
        <w:t>Oktober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</w:t>
      </w:r>
      <w:r w:rsidR="00745C5A">
        <w:rPr>
          <w:rFonts w:asciiTheme="majorHAnsi" w:hAnsiTheme="majorHAnsi" w:cstheme="majorHAnsi"/>
          <w:szCs w:val="21"/>
          <w:lang w:val="de-AT"/>
        </w:rPr>
        <w:t>124</w:t>
      </w:r>
      <w:r w:rsidRPr="001B5007">
        <w:rPr>
          <w:rFonts w:asciiTheme="majorHAnsi" w:hAnsiTheme="majorHAnsi" w:cstheme="majorHAnsi"/>
          <w:szCs w:val="21"/>
          <w:lang w:val="de-AT"/>
        </w:rPr>
        <w:t>.</w:t>
      </w:r>
      <w:r w:rsidR="00745C5A">
        <w:rPr>
          <w:rFonts w:asciiTheme="majorHAnsi" w:hAnsiTheme="majorHAnsi" w:cstheme="majorHAnsi"/>
          <w:szCs w:val="21"/>
          <w:lang w:val="de-AT"/>
        </w:rPr>
        <w:t>373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.000 Euro – das entspricht einem </w:t>
      </w:r>
      <w:r w:rsidR="00745C5A">
        <w:rPr>
          <w:rFonts w:asciiTheme="majorHAnsi" w:hAnsiTheme="majorHAnsi" w:cstheme="majorHAnsi"/>
          <w:szCs w:val="21"/>
          <w:lang w:val="de-AT"/>
        </w:rPr>
        <w:t>Plus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von 1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 zum Vergleichsmonat 2023. Im Zeitraum Jänner bis </w:t>
      </w:r>
      <w:r w:rsidR="00745C5A">
        <w:rPr>
          <w:rFonts w:asciiTheme="majorHAnsi" w:hAnsiTheme="majorHAnsi" w:cstheme="majorHAnsi"/>
          <w:szCs w:val="21"/>
          <w:lang w:val="de-AT"/>
        </w:rPr>
        <w:t>Oktober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konnten die Betriebe </w:t>
      </w:r>
      <w:r w:rsidR="00745C5A">
        <w:rPr>
          <w:rFonts w:asciiTheme="majorHAnsi" w:hAnsiTheme="majorHAnsi" w:cstheme="majorHAnsi"/>
          <w:szCs w:val="21"/>
          <w:lang w:val="de-AT"/>
        </w:rPr>
        <w:t>1.088</w:t>
      </w:r>
      <w:r w:rsidRPr="001B5007">
        <w:rPr>
          <w:rFonts w:asciiTheme="majorHAnsi" w:hAnsiTheme="majorHAnsi" w:cstheme="majorHAnsi"/>
          <w:szCs w:val="21"/>
          <w:lang w:val="de-AT"/>
        </w:rPr>
        <w:t>.</w:t>
      </w:r>
      <w:r w:rsidR="00745C5A">
        <w:rPr>
          <w:rFonts w:asciiTheme="majorHAnsi" w:hAnsiTheme="majorHAnsi" w:cstheme="majorHAnsi"/>
          <w:szCs w:val="21"/>
          <w:lang w:val="de-AT"/>
        </w:rPr>
        <w:t>330.</w:t>
      </w:r>
      <w:r w:rsidRPr="001B5007">
        <w:rPr>
          <w:rFonts w:asciiTheme="majorHAnsi" w:hAnsiTheme="majorHAnsi" w:cstheme="majorHAnsi"/>
          <w:szCs w:val="21"/>
          <w:lang w:val="de-AT"/>
        </w:rPr>
        <w:t>000 Euro erwirtschaften – um 1</w:t>
      </w:r>
      <w:r w:rsidR="00745C5A">
        <w:rPr>
          <w:rFonts w:asciiTheme="majorHAnsi" w:hAnsiTheme="majorHAnsi" w:cstheme="majorHAnsi"/>
          <w:szCs w:val="21"/>
          <w:lang w:val="de-AT"/>
        </w:rPr>
        <w:t>2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 mehr als im Vergleichszeitraum des Vorjahres. Die durchschnittliche Auslastung der Hotelzimmer betrug im </w:t>
      </w:r>
      <w:r w:rsidR="00745C5A"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rund 7</w:t>
      </w:r>
      <w:r w:rsidR="000F43A4">
        <w:rPr>
          <w:rFonts w:asciiTheme="majorHAnsi" w:hAnsiTheme="majorHAnsi" w:cstheme="majorHAnsi"/>
          <w:szCs w:val="21"/>
          <w:lang w:val="de-AT"/>
        </w:rPr>
        <w:t>0</w:t>
      </w:r>
      <w:r w:rsidRPr="001B5007">
        <w:rPr>
          <w:rFonts w:asciiTheme="majorHAnsi" w:hAnsiTheme="majorHAnsi" w:cstheme="majorHAnsi"/>
          <w:szCs w:val="21"/>
          <w:lang w:val="de-AT"/>
        </w:rPr>
        <w:t>% (1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/2023: rund </w:t>
      </w:r>
      <w:r w:rsidR="00745C5A">
        <w:rPr>
          <w:rFonts w:asciiTheme="majorHAnsi" w:hAnsiTheme="majorHAnsi" w:cstheme="majorHAnsi"/>
          <w:szCs w:val="21"/>
          <w:lang w:val="de-AT"/>
        </w:rPr>
        <w:t>66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%), jene der Betten </w:t>
      </w:r>
      <w:r w:rsidR="00745C5A">
        <w:rPr>
          <w:rFonts w:asciiTheme="majorHAnsi" w:hAnsiTheme="majorHAnsi" w:cstheme="majorHAnsi"/>
          <w:szCs w:val="21"/>
          <w:lang w:val="de-AT"/>
        </w:rPr>
        <w:t>54,2</w:t>
      </w:r>
      <w:r w:rsidRPr="001B5007">
        <w:rPr>
          <w:rFonts w:asciiTheme="majorHAnsi" w:hAnsiTheme="majorHAnsi" w:cstheme="majorHAnsi"/>
          <w:szCs w:val="21"/>
          <w:lang w:val="de-AT"/>
        </w:rPr>
        <w:t>% (1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>/2023: 5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>,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%). Im bisherigen Jahresverlauf (Jänner bis </w:t>
      </w:r>
      <w:r w:rsidR="00745C5A"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>) lag die Zimmerauslastung bei rund 69% (1-1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/2023: 68%), die Bettenauslastung bei </w:t>
      </w:r>
      <w:r w:rsidR="00745C5A">
        <w:rPr>
          <w:rFonts w:asciiTheme="majorHAnsi" w:hAnsiTheme="majorHAnsi" w:cstheme="majorHAnsi"/>
          <w:szCs w:val="21"/>
          <w:lang w:val="de-AT"/>
        </w:rPr>
        <w:t>53,3</w:t>
      </w:r>
      <w:r w:rsidRPr="001B5007">
        <w:rPr>
          <w:rFonts w:asciiTheme="majorHAnsi" w:hAnsiTheme="majorHAnsi" w:cstheme="majorHAnsi"/>
          <w:szCs w:val="21"/>
          <w:lang w:val="de-AT"/>
        </w:rPr>
        <w:t>% (1-1</w:t>
      </w:r>
      <w:r w:rsidR="00745C5A">
        <w:rPr>
          <w:rFonts w:asciiTheme="majorHAnsi" w:hAnsiTheme="majorHAnsi" w:cstheme="majorHAnsi"/>
          <w:szCs w:val="21"/>
          <w:lang w:val="de-AT"/>
        </w:rPr>
        <w:t>1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/2023: 53%). Insgesamt waren im </w:t>
      </w:r>
      <w:r w:rsidR="00745C5A">
        <w:rPr>
          <w:rFonts w:asciiTheme="majorHAnsi" w:hAnsiTheme="majorHAnsi" w:cstheme="majorHAnsi"/>
          <w:szCs w:val="21"/>
          <w:lang w:val="de-AT"/>
        </w:rPr>
        <w:t>November</w:t>
      </w:r>
      <w:r w:rsidRPr="001B5007">
        <w:rPr>
          <w:rFonts w:asciiTheme="majorHAnsi" w:hAnsiTheme="majorHAnsi" w:cstheme="majorHAnsi"/>
          <w:szCs w:val="21"/>
          <w:lang w:val="de-AT"/>
        </w:rPr>
        <w:t xml:space="preserve"> etwa 79.</w:t>
      </w:r>
      <w:r w:rsidR="00745C5A">
        <w:rPr>
          <w:rFonts w:asciiTheme="majorHAnsi" w:hAnsiTheme="majorHAnsi" w:cstheme="majorHAnsi"/>
          <w:szCs w:val="21"/>
          <w:lang w:val="de-AT"/>
        </w:rPr>
        <w:t>4</w:t>
      </w:r>
      <w:r w:rsidRPr="001B5007">
        <w:rPr>
          <w:rFonts w:asciiTheme="majorHAnsi" w:hAnsiTheme="majorHAnsi" w:cstheme="majorHAnsi"/>
          <w:szCs w:val="21"/>
          <w:lang w:val="de-AT"/>
        </w:rPr>
        <w:t>00 Hotelbetten in Wien verfügbar – das waren um rund 6.</w:t>
      </w:r>
      <w:r w:rsidR="00745C5A">
        <w:rPr>
          <w:rFonts w:asciiTheme="majorHAnsi" w:hAnsiTheme="majorHAnsi" w:cstheme="majorHAnsi"/>
          <w:szCs w:val="21"/>
          <w:lang w:val="de-AT"/>
        </w:rPr>
        <w:t>2</w:t>
      </w:r>
      <w:r w:rsidRPr="001B5007">
        <w:rPr>
          <w:rFonts w:asciiTheme="majorHAnsi" w:hAnsiTheme="majorHAnsi" w:cstheme="majorHAnsi"/>
          <w:szCs w:val="21"/>
          <w:lang w:val="de-AT"/>
        </w:rPr>
        <w:t>00 Betten (+</w:t>
      </w:r>
      <w:r w:rsidR="00745C5A">
        <w:rPr>
          <w:rFonts w:asciiTheme="majorHAnsi" w:hAnsiTheme="majorHAnsi" w:cstheme="majorHAnsi"/>
          <w:szCs w:val="21"/>
          <w:lang w:val="de-AT"/>
        </w:rPr>
        <w:t>8</w:t>
      </w:r>
      <w:r w:rsidRPr="001B5007">
        <w:rPr>
          <w:rFonts w:asciiTheme="majorHAnsi" w:hAnsiTheme="majorHAnsi" w:cstheme="majorHAnsi"/>
          <w:szCs w:val="21"/>
          <w:lang w:val="de-AT"/>
        </w:rPr>
        <w:t>%) mehr, als im Vergleichsmonat 2023 angeboten wurden.</w:t>
      </w:r>
    </w:p>
    <w:p w14:paraId="7D175AC0" w14:textId="77777777" w:rsidR="00745C5A" w:rsidRDefault="00745C5A" w:rsidP="001B5007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</w:p>
    <w:p w14:paraId="76F0AE4D" w14:textId="7B88FEFB" w:rsidR="00745C5A" w:rsidRPr="003B086F" w:rsidRDefault="00745C5A" w:rsidP="00745C5A">
      <w:pPr>
        <w:ind w:firstLine="0"/>
        <w:jc w:val="left"/>
        <w:rPr>
          <w:rFonts w:asciiTheme="majorHAnsi" w:hAnsiTheme="majorHAnsi" w:cstheme="majorHAnsi"/>
          <w:b/>
          <w:bCs/>
          <w:szCs w:val="21"/>
          <w:lang w:val="de-AT"/>
        </w:rPr>
      </w:pPr>
      <w:r w:rsidRPr="003B086F">
        <w:rPr>
          <w:rFonts w:asciiTheme="majorHAnsi" w:hAnsiTheme="majorHAnsi" w:cstheme="majorHAnsi"/>
          <w:b/>
          <w:bCs/>
          <w:szCs w:val="21"/>
          <w:lang w:val="de-AT"/>
        </w:rPr>
        <w:t>Diese Medien-Info inkl. Tabelle als Word-File zum Download finden Sie </w:t>
      </w:r>
      <w:hyperlink r:id="rId8" w:history="1">
        <w:r w:rsidRPr="00D5537F">
          <w:rPr>
            <w:rStyle w:val="Hyperlink"/>
            <w:rFonts w:asciiTheme="majorHAnsi" w:hAnsiTheme="majorHAnsi" w:cstheme="majorHAnsi"/>
            <w:b/>
            <w:bCs/>
            <w:szCs w:val="21"/>
            <w:lang w:val="de-AT"/>
          </w:rPr>
          <w:t>hier</w:t>
        </w:r>
      </w:hyperlink>
      <w:r w:rsidRPr="003B086F">
        <w:rPr>
          <w:rFonts w:asciiTheme="majorHAnsi" w:hAnsiTheme="majorHAnsi" w:cstheme="majorHAnsi"/>
          <w:b/>
          <w:bCs/>
          <w:szCs w:val="21"/>
          <w:lang w:val="de-AT"/>
        </w:rPr>
        <w:t>.</w:t>
      </w:r>
    </w:p>
    <w:p w14:paraId="0A5BC3ED" w14:textId="77777777" w:rsidR="00745C5A" w:rsidRPr="001B5007" w:rsidRDefault="00745C5A" w:rsidP="00745C5A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</w:p>
    <w:p w14:paraId="7D7809A0" w14:textId="77777777" w:rsidR="00745C5A" w:rsidRPr="001B5007" w:rsidRDefault="00745C5A" w:rsidP="00745C5A">
      <w:pPr>
        <w:ind w:firstLine="0"/>
        <w:jc w:val="left"/>
        <w:rPr>
          <w:rFonts w:asciiTheme="majorHAnsi" w:hAnsiTheme="majorHAnsi" w:cstheme="majorHAnsi"/>
          <w:szCs w:val="21"/>
          <w:lang w:val="de-AT"/>
        </w:rPr>
      </w:pPr>
      <w:r w:rsidRPr="001B5007">
        <w:rPr>
          <w:rFonts w:asciiTheme="majorHAnsi" w:hAnsiTheme="majorHAnsi" w:cstheme="majorHAnsi"/>
          <w:szCs w:val="21"/>
          <w:lang w:val="de-AT"/>
        </w:rPr>
        <w:t>Die aktuellen Kennzahlen in vollem Umfang für sämtliche erhobene Herkunftsmärkte erhalten Sie unter: </w:t>
      </w:r>
      <w:hyperlink r:id="rId9" w:tgtFrame="_blank" w:history="1">
        <w:r w:rsidRPr="001B5007">
          <w:rPr>
            <w:rStyle w:val="Hyperlink"/>
            <w:rFonts w:asciiTheme="majorHAnsi" w:hAnsiTheme="majorHAnsi" w:cstheme="majorHAnsi"/>
            <w:szCs w:val="21"/>
            <w:lang w:val="de-AT"/>
          </w:rPr>
          <w:t>https://b2b.wien.info/de/statistik/daten/statistik-aktuell</w:t>
        </w:r>
      </w:hyperlink>
    </w:p>
    <w:p w14:paraId="18621B14" w14:textId="683B1DD8" w:rsidR="00745C5A" w:rsidRDefault="00745C5A" w:rsidP="00745C5A">
      <w:pPr>
        <w:spacing w:line="240" w:lineRule="auto"/>
        <w:ind w:firstLine="0"/>
        <w:jc w:val="left"/>
        <w:rPr>
          <w:rFonts w:asciiTheme="majorHAnsi" w:hAnsiTheme="majorHAnsi" w:cstheme="majorHAnsi"/>
          <w:szCs w:val="21"/>
          <w:lang w:val="de-AT"/>
        </w:rPr>
      </w:pPr>
      <w:r>
        <w:rPr>
          <w:rFonts w:asciiTheme="majorHAnsi" w:hAnsiTheme="majorHAnsi" w:cstheme="majorHAnsi"/>
          <w:szCs w:val="21"/>
          <w:lang w:val="de-AT"/>
        </w:rPr>
        <w:br w:type="page"/>
      </w:r>
    </w:p>
    <w:tbl>
      <w:tblPr>
        <w:tblpPr w:leftFromText="141" w:rightFromText="141" w:vertAnchor="text" w:tblpY="1"/>
        <w:tblOverlap w:val="never"/>
        <w:tblW w:w="8287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60"/>
        <w:gridCol w:w="1128"/>
        <w:gridCol w:w="1423"/>
        <w:gridCol w:w="1276"/>
      </w:tblGrid>
      <w:tr w:rsidR="00745C5A" w:rsidRPr="00745C5A" w14:paraId="32947B1D" w14:textId="77777777" w:rsidTr="00AC6327">
        <w:trPr>
          <w:trHeight w:val="270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DD02D5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lastRenderedPageBreak/>
              <w:t>Herkunftsland</w:t>
            </w:r>
          </w:p>
        </w:tc>
        <w:tc>
          <w:tcPr>
            <w:tcW w:w="2688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C269C9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eastAsia="zh-CN" w:bidi="th-TH"/>
              </w:rPr>
              <w:t>Nächtigungen</w:t>
            </w:r>
            <w:r w:rsidRPr="00745C5A"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vertAlign w:val="superscript"/>
                <w:lang w:eastAsia="zh-CN" w:bidi="th-TH"/>
              </w:rPr>
              <w:t>1)</w:t>
            </w:r>
          </w:p>
        </w:tc>
        <w:tc>
          <w:tcPr>
            <w:tcW w:w="2699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613E01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auto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745C5A" w:rsidRPr="00745C5A" w14:paraId="1918488B" w14:textId="77777777" w:rsidTr="00AC6327">
        <w:trPr>
          <w:trHeight w:val="285"/>
        </w:trPr>
        <w:tc>
          <w:tcPr>
            <w:tcW w:w="2900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543DDB5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79D17E3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Jänner-November 2024</w:t>
            </w:r>
          </w:p>
        </w:tc>
        <w:tc>
          <w:tcPr>
            <w:tcW w:w="2699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0AA1C9C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November 2024</w:t>
            </w:r>
          </w:p>
        </w:tc>
      </w:tr>
      <w:tr w:rsidR="00745C5A" w:rsidRPr="00745C5A" w14:paraId="03398880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3A3B4FE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56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6357F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3.186.000</w:t>
            </w:r>
          </w:p>
        </w:tc>
        <w:tc>
          <w:tcPr>
            <w:tcW w:w="1128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0327F3D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+ 4 %</w:t>
            </w:r>
          </w:p>
        </w:tc>
        <w:tc>
          <w:tcPr>
            <w:tcW w:w="1423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C481F3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239.000</w:t>
            </w:r>
          </w:p>
        </w:tc>
        <w:tc>
          <w:tcPr>
            <w:tcW w:w="1276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E1D1C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+ 2 %</w:t>
            </w:r>
          </w:p>
        </w:tc>
      </w:tr>
      <w:tr w:rsidR="00745C5A" w:rsidRPr="00745C5A" w14:paraId="280E2887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1365BBC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D6A0ED9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3.089.000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C8534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2EB5D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309.000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302A8A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</w:tr>
      <w:tr w:rsidR="00745C5A" w:rsidRPr="00745C5A" w14:paraId="64C0F05E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358C8C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B5DB7F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1.083.000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67682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B138FD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87.000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80EAE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</w:tr>
      <w:tr w:rsidR="00745C5A" w:rsidRPr="00745C5A" w14:paraId="54A6C0B2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D22C6D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1FF291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885.000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D91D5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48853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2ADE8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+ 19 %</w:t>
            </w:r>
          </w:p>
        </w:tc>
      </w:tr>
      <w:tr w:rsidR="00745C5A" w:rsidRPr="00745C5A" w14:paraId="0FCFA496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C3B5198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B60166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696.000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3605CF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DBC22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75.000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B347A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+ 10 %</w:t>
            </w:r>
          </w:p>
        </w:tc>
      </w:tr>
      <w:tr w:rsidR="00745C5A" w:rsidRPr="00745C5A" w14:paraId="61A989F3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E9D1B4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1EBD9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533.000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A5CCDA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549900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60.000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271DA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+ 25 %</w:t>
            </w:r>
          </w:p>
        </w:tc>
      </w:tr>
      <w:tr w:rsidR="00745C5A" w:rsidRPr="00745C5A" w14:paraId="71BAF8D1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01E19E7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D4789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464.000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B2382F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C63069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39.000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0144D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</w:tr>
      <w:tr w:rsidR="00745C5A" w:rsidRPr="00745C5A" w14:paraId="31497D20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CE86EC6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EE7DB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437.000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759C2E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95ECB6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35.000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A6B3B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+ 30 %</w:t>
            </w:r>
          </w:p>
        </w:tc>
      </w:tr>
      <w:tr w:rsidR="00745C5A" w:rsidRPr="00745C5A" w14:paraId="4F6B6800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5201F3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Schweiz, Liechtenstein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21B28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380.000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BC9AFA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36409E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DDEA1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</w:tr>
      <w:tr w:rsidR="00745C5A" w:rsidRPr="00745C5A" w14:paraId="0092500C" w14:textId="77777777" w:rsidTr="00AC6327">
        <w:trPr>
          <w:trHeight w:val="248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819F70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Rumänien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5CE8AE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304.000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B41D2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D0565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8C046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- 8 %</w:t>
            </w:r>
          </w:p>
        </w:tc>
      </w:tr>
      <w:tr w:rsidR="00745C5A" w:rsidRPr="00745C5A" w14:paraId="6D1A643A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158174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13EF3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5.797.000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3CE1A6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4D7500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538.000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263DB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745C5A" w:rsidRPr="00745C5A" w14:paraId="4CF88E32" w14:textId="77777777" w:rsidTr="00AC6327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884019B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3E5D8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16.854.000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296725C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0AE125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1.540.000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1030C3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</w:tr>
      <w:tr w:rsidR="00745C5A" w:rsidRPr="00745C5A" w14:paraId="1E2F5CE7" w14:textId="77777777" w:rsidTr="00AC6327">
        <w:trPr>
          <w:trHeight w:val="321"/>
        </w:trPr>
        <w:tc>
          <w:tcPr>
            <w:tcW w:w="8287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7673E36F" w14:textId="77777777" w:rsidR="00745C5A" w:rsidRPr="00745C5A" w:rsidRDefault="00745C5A" w:rsidP="00745C5A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1) Nächtigungen sind nicht Gäste, sondern die von diesen absolvierten Übernachtungen. </w:t>
            </w:r>
          </w:p>
          <w:p w14:paraId="56E92045" w14:textId="77777777" w:rsidR="00745C5A" w:rsidRPr="00745C5A" w:rsidRDefault="00745C5A" w:rsidP="00745C5A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Bei den Daten für November handelt es sich um vorläufige Daten.</w:t>
            </w:r>
          </w:p>
          <w:p w14:paraId="4887D626" w14:textId="77777777" w:rsidR="00745C5A" w:rsidRPr="00745C5A" w:rsidRDefault="00745C5A" w:rsidP="00745C5A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Datenquelle:</w:t>
            </w:r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</w:t>
            </w:r>
          </w:p>
        </w:tc>
      </w:tr>
    </w:tbl>
    <w:p w14:paraId="1A0BCF61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21F7E53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1D3E17F0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229073C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B0779B7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8D53121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5CA9C0E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48D16920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4BAD8A1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2F155076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FBC8CA4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F6C5E3F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B687B97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525A2E7D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68B65B0F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36D02CA3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6B4D290D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0A2CCEA3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b/>
          <w:color w:val="auto"/>
          <w:spacing w:val="0"/>
          <w:sz w:val="20"/>
          <w:szCs w:val="20"/>
          <w:lang w:eastAsia="zh-CN" w:bidi="th-TH"/>
        </w:rPr>
      </w:pPr>
    </w:p>
    <w:p w14:paraId="740000E1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color w:val="auto"/>
          <w:spacing w:val="0"/>
          <w:sz w:val="18"/>
          <w:szCs w:val="18"/>
          <w:lang w:eastAsia="zh-CN" w:bidi="th-TH"/>
        </w:rPr>
      </w:pPr>
    </w:p>
    <w:p w14:paraId="3F2EA462" w14:textId="77777777" w:rsidR="00745C5A" w:rsidRPr="00745C5A" w:rsidRDefault="00745C5A" w:rsidP="00745C5A">
      <w:pPr>
        <w:spacing w:line="276" w:lineRule="auto"/>
        <w:ind w:firstLine="0"/>
        <w:rPr>
          <w:rFonts w:ascii="Arial" w:eastAsia="Times New Roman" w:hAnsi="Arial" w:cs="Arial"/>
          <w:color w:val="auto"/>
          <w:spacing w:val="0"/>
          <w:sz w:val="18"/>
          <w:szCs w:val="18"/>
          <w:lang w:eastAsia="zh-CN" w:bidi="th-TH"/>
        </w:rPr>
      </w:pPr>
    </w:p>
    <w:tbl>
      <w:tblPr>
        <w:tblW w:w="8095" w:type="dxa"/>
        <w:tblInd w:w="50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465"/>
        <w:gridCol w:w="1180"/>
        <w:gridCol w:w="1371"/>
        <w:gridCol w:w="1134"/>
      </w:tblGrid>
      <w:tr w:rsidR="00745C5A" w:rsidRPr="00745C5A" w14:paraId="54BD3E5D" w14:textId="77777777" w:rsidTr="00AC6327">
        <w:trPr>
          <w:trHeight w:val="270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652C20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Herkunftsland</w:t>
            </w:r>
          </w:p>
        </w:tc>
        <w:tc>
          <w:tcPr>
            <w:tcW w:w="2645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35AB05F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eastAsia="zh-CN" w:bidi="th-TH"/>
              </w:rPr>
              <w:t>Nächtigungsumsatz in € netto</w:t>
            </w:r>
            <w:r w:rsidRPr="00745C5A"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vertAlign w:val="superscript"/>
                <w:lang w:eastAsia="zh-CN" w:bidi="th-TH"/>
              </w:rPr>
              <w:t>2)</w:t>
            </w:r>
          </w:p>
        </w:tc>
        <w:tc>
          <w:tcPr>
            <w:tcW w:w="2505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2D2A50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</w:p>
        </w:tc>
      </w:tr>
      <w:tr w:rsidR="00745C5A" w:rsidRPr="00745C5A" w14:paraId="119148CF" w14:textId="77777777" w:rsidTr="00AC6327">
        <w:trPr>
          <w:trHeight w:val="285"/>
        </w:trPr>
        <w:tc>
          <w:tcPr>
            <w:tcW w:w="2945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0E6700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val="de-AT"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 </w:t>
            </w:r>
          </w:p>
        </w:tc>
        <w:tc>
          <w:tcPr>
            <w:tcW w:w="2645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925672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val="de-AT" w:eastAsia="de-AT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Jänner-Oktober 2024</w:t>
            </w:r>
          </w:p>
        </w:tc>
        <w:tc>
          <w:tcPr>
            <w:tcW w:w="2505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30B3F88" w14:textId="77777777" w:rsidR="00745C5A" w:rsidRPr="00745C5A" w:rsidRDefault="00745C5A" w:rsidP="00745C5A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Oktober 2024</w:t>
            </w:r>
          </w:p>
        </w:tc>
      </w:tr>
      <w:tr w:rsidR="00745C5A" w:rsidRPr="00745C5A" w14:paraId="14BDC70A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A2DF2E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val="de-AT" w:eastAsia="de-AT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Deutschland</w:t>
            </w:r>
          </w:p>
        </w:tc>
        <w:tc>
          <w:tcPr>
            <w:tcW w:w="146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58A11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195.167.000</w:t>
            </w:r>
          </w:p>
        </w:tc>
        <w:tc>
          <w:tcPr>
            <w:tcW w:w="118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2967E5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  <w:tc>
          <w:tcPr>
            <w:tcW w:w="1371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28382EC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23.218.000</w:t>
            </w:r>
          </w:p>
        </w:tc>
        <w:tc>
          <w:tcPr>
            <w:tcW w:w="1134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A42838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+ 7 %</w:t>
            </w:r>
          </w:p>
        </w:tc>
      </w:tr>
      <w:tr w:rsidR="00745C5A" w:rsidRPr="00745C5A" w14:paraId="45A1F916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89860D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Österreich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E87C22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187.000.000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EF1545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0FC7A3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23.039.000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16AB4AD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</w:tr>
      <w:tr w:rsidR="00745C5A" w:rsidRPr="00745C5A" w14:paraId="646B9D62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DD8938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USA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AE62D7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94.229.000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6A2AE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2FBE9F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10.493.000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54C1FC5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+ 8 %</w:t>
            </w:r>
          </w:p>
        </w:tc>
      </w:tr>
      <w:tr w:rsidR="00745C5A" w:rsidRPr="00745C5A" w14:paraId="662A83F1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F81AA1F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Italien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6821D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49.581.000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1E7AA0C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+ 16 %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F735FF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5.015.000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350C6D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+ 22 %</w:t>
            </w:r>
          </w:p>
        </w:tc>
      </w:tr>
      <w:tr w:rsidR="00745C5A" w:rsidRPr="00745C5A" w14:paraId="545D769B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14A64C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Großbritannien, Nordirland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B3C5AB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47.414.000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722082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656143D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5.398.000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53292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+ 21 %</w:t>
            </w:r>
          </w:p>
        </w:tc>
      </w:tr>
      <w:tr w:rsidR="00745C5A" w:rsidRPr="00745C5A" w14:paraId="44CE5503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9C0B2D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Spanien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D658249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31.154.000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A43E23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494A10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3.426.000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AB46F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+ 4 %</w:t>
            </w:r>
          </w:p>
        </w:tc>
      </w:tr>
      <w:tr w:rsidR="00745C5A" w:rsidRPr="00745C5A" w14:paraId="306F9CF7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AA0216B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Frankreich, Monaco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C2ECAB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29.613.000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243F0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B91BF62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3.036.000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681162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+ 13 %</w:t>
            </w:r>
          </w:p>
        </w:tc>
      </w:tr>
      <w:tr w:rsidR="00745C5A" w:rsidRPr="00745C5A" w14:paraId="081D74EB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E58AB2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Schweiz, Liechtenstein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50695C6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26.567.000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AC8ED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EF1AE7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3.216.000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8BFFB6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+ 2 %</w:t>
            </w:r>
          </w:p>
        </w:tc>
      </w:tr>
      <w:tr w:rsidR="00745C5A" w:rsidRPr="00745C5A" w14:paraId="6339BFB9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1B198F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Polen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B07A03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24.529.000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44590B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BCCBAB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1.913.000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23748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+ 27 %</w:t>
            </w:r>
          </w:p>
        </w:tc>
      </w:tr>
      <w:tr w:rsidR="00745C5A" w:rsidRPr="00745C5A" w14:paraId="62127CA2" w14:textId="77777777" w:rsidTr="00AC6327">
        <w:trPr>
          <w:trHeight w:val="248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7CF8E5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China (Mainland) HK MO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A65371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20.599.000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00502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+ 91 %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F0F5189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2.452.000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B7FA84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+ 66 %</w:t>
            </w:r>
          </w:p>
        </w:tc>
      </w:tr>
      <w:tr w:rsidR="00745C5A" w:rsidRPr="00745C5A" w14:paraId="6909297F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443527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Übrige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B8255C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382.477.000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47E0E91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301A9D8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43.167.000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1DD7CC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</w:p>
        </w:tc>
      </w:tr>
      <w:tr w:rsidR="00745C5A" w:rsidRPr="00745C5A" w14:paraId="32964D43" w14:textId="77777777" w:rsidTr="00AC6327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89DE5B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Gesamtergebnis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7240E25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1.088.330.000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3F670E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612DBF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  <w:t>124.373.000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24D1ED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  <w:t>+ 11 %</w:t>
            </w:r>
          </w:p>
        </w:tc>
      </w:tr>
      <w:tr w:rsidR="00745C5A" w:rsidRPr="00745C5A" w14:paraId="3DDD085D" w14:textId="77777777" w:rsidTr="00AC6327">
        <w:trPr>
          <w:trHeight w:val="285"/>
        </w:trPr>
        <w:tc>
          <w:tcPr>
            <w:tcW w:w="294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1EC6DA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>RevPAR</w:t>
            </w: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vertAlign w:val="superscript"/>
                <w:lang w:eastAsia="zh-CN" w:bidi="th-TH"/>
              </w:rPr>
              <w:t>3)</w:t>
            </w:r>
            <w:r w:rsidRPr="00745C5A">
              <w:rPr>
                <w:rFonts w:ascii="Arial" w:eastAsia="Times New Roman" w:hAnsi="Arial" w:cs="Arial"/>
                <w:color w:val="000000"/>
                <w:spacing w:val="0"/>
                <w:sz w:val="22"/>
                <w:szCs w:val="22"/>
                <w:lang w:eastAsia="zh-CN" w:bidi="th-TH"/>
              </w:rPr>
              <w:t xml:space="preserve"> in €</w:t>
            </w:r>
          </w:p>
        </w:tc>
        <w:tc>
          <w:tcPr>
            <w:tcW w:w="146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6BF65EB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82,3</w:t>
            </w:r>
          </w:p>
        </w:tc>
        <w:tc>
          <w:tcPr>
            <w:tcW w:w="1180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7B5E893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+ 6 %</w:t>
            </w:r>
          </w:p>
        </w:tc>
        <w:tc>
          <w:tcPr>
            <w:tcW w:w="1371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8A82127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000000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000000"/>
                <w:spacing w:val="0"/>
                <w:sz w:val="20"/>
                <w:szCs w:val="20"/>
                <w:lang w:eastAsia="zh-CN" w:bidi="th-TH"/>
              </w:rPr>
              <w:t>90,5</w:t>
            </w:r>
          </w:p>
        </w:tc>
        <w:tc>
          <w:tcPr>
            <w:tcW w:w="1134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50C8F2A" w14:textId="77777777" w:rsidR="00745C5A" w:rsidRPr="00745C5A" w:rsidRDefault="00745C5A" w:rsidP="00745C5A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color w:val="333333"/>
                <w:spacing w:val="0"/>
                <w:sz w:val="20"/>
                <w:szCs w:val="20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333333"/>
                <w:spacing w:val="0"/>
                <w:sz w:val="20"/>
                <w:szCs w:val="20"/>
                <w:lang w:eastAsia="zh-CN" w:bidi="th-TH"/>
              </w:rPr>
              <w:t>+ 5 %</w:t>
            </w:r>
          </w:p>
        </w:tc>
      </w:tr>
      <w:tr w:rsidR="00745C5A" w:rsidRPr="00745C5A" w14:paraId="0E365E9F" w14:textId="77777777" w:rsidTr="00AC6327">
        <w:trPr>
          <w:trHeight w:val="523"/>
        </w:trPr>
        <w:tc>
          <w:tcPr>
            <w:tcW w:w="8095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6396A3E9" w14:textId="77777777" w:rsidR="00745C5A" w:rsidRPr="00745C5A" w:rsidRDefault="00745C5A" w:rsidP="00745C5A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2) ohne Frühstück und Umsatzsteuer, Wert wird aus den monatlichen Erträgen der Ortstaxe hochgerechnet </w:t>
            </w:r>
          </w:p>
          <w:p w14:paraId="251B1077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3) </w:t>
            </w:r>
            <w:proofErr w:type="spellStart"/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RevPAR</w:t>
            </w:r>
            <w:proofErr w:type="spellEnd"/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(</w:t>
            </w:r>
            <w:proofErr w:type="spellStart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revenue</w:t>
            </w:r>
            <w:proofErr w:type="spellEnd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per </w:t>
            </w:r>
            <w:proofErr w:type="spellStart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available</w:t>
            </w:r>
            <w:proofErr w:type="spellEnd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</w:t>
            </w:r>
            <w:proofErr w:type="spellStart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room</w:t>
            </w:r>
            <w:proofErr w:type="spellEnd"/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) </w:t>
            </w:r>
            <w:r w:rsidRPr="00745C5A">
              <w:rPr>
                <w:rFonts w:ascii="Arial" w:eastAsia="Times New Roman" w:hAnsi="Arial" w:cs="Arial"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 xml:space="preserve">ist </w:t>
            </w:r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>der Erlös pro verfügbarem Zimmer in Hotels &amp; Pensionen, ein Nettowert, der die Kennzahlen „durchschnittliche Zimmerbelegung“ und „durchschnittlicher Zimmerpreis“ vereint. Nicht zu verwechseln mit dem weit darüber liegenden Zimmerpreis.</w:t>
            </w:r>
          </w:p>
          <w:p w14:paraId="1A537183" w14:textId="77777777" w:rsidR="00745C5A" w:rsidRPr="00745C5A" w:rsidRDefault="00745C5A" w:rsidP="00745C5A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</w:pPr>
            <w:r w:rsidRPr="00745C5A">
              <w:rPr>
                <w:rFonts w:ascii="Arial" w:eastAsia="Times New Roman" w:hAnsi="Arial" w:cs="Arial"/>
                <w:b/>
                <w:bCs/>
                <w:color w:val="auto"/>
                <w:spacing w:val="0"/>
                <w:sz w:val="14"/>
                <w:szCs w:val="16"/>
                <w:lang w:eastAsia="zh-CN" w:bidi="th-TH"/>
              </w:rPr>
              <w:t>Datenquellen:</w:t>
            </w:r>
            <w:r w:rsidRPr="00745C5A">
              <w:rPr>
                <w:rFonts w:ascii="Arial" w:eastAsia="Times New Roman" w:hAnsi="Arial" w:cs="Arial"/>
                <w:color w:val="auto"/>
                <w:spacing w:val="0"/>
                <w:sz w:val="14"/>
                <w:szCs w:val="16"/>
                <w:lang w:eastAsia="zh-CN" w:bidi="th-TH"/>
              </w:rPr>
              <w:t xml:space="preserve"> MA 23 – Dezernat Statistik und MA 6 – Rechnungs- und Abgabenwesen. Die Kennzahlen zum Nächtigungsumsatz stehen jeweils einen Monat nach den Nächtigungsergebnissen zur Verfügung.</w:t>
            </w:r>
          </w:p>
        </w:tc>
      </w:tr>
    </w:tbl>
    <w:p w14:paraId="7C6A45C1" w14:textId="77777777" w:rsidR="00745C5A" w:rsidRPr="00745C5A" w:rsidRDefault="00745C5A" w:rsidP="001B5007">
      <w:pPr>
        <w:ind w:firstLine="0"/>
        <w:jc w:val="left"/>
        <w:rPr>
          <w:rFonts w:asciiTheme="majorHAnsi" w:hAnsiTheme="majorHAnsi" w:cstheme="majorHAnsi"/>
          <w:szCs w:val="21"/>
        </w:rPr>
      </w:pPr>
    </w:p>
    <w:p w14:paraId="513C64DD" w14:textId="48AFE2FC" w:rsidR="00565DD7" w:rsidRDefault="00565DD7">
      <w:pPr>
        <w:spacing w:line="240" w:lineRule="auto"/>
        <w:ind w:firstLine="0"/>
        <w:jc w:val="left"/>
        <w:rPr>
          <w:rFonts w:asciiTheme="majorHAnsi" w:hAnsiTheme="majorHAnsi" w:cstheme="majorHAnsi"/>
          <w:szCs w:val="21"/>
          <w:lang w:val="de-AT"/>
        </w:rPr>
      </w:pPr>
      <w:r>
        <w:rPr>
          <w:rFonts w:asciiTheme="majorHAnsi" w:hAnsiTheme="majorHAnsi" w:cstheme="majorHAnsi"/>
          <w:szCs w:val="21"/>
          <w:lang w:val="de-AT"/>
        </w:rPr>
        <w:br w:type="page"/>
      </w:r>
    </w:p>
    <w:p w14:paraId="601CD559" w14:textId="77777777" w:rsidR="00321F0D" w:rsidRPr="00E22FF9" w:rsidRDefault="00321F0D" w:rsidP="00EA52F2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b/>
          <w:bCs/>
          <w:lang w:val="de-AT"/>
        </w:rPr>
        <w:lastRenderedPageBreak/>
        <w:t>Rückfragen für Medien</w:t>
      </w:r>
    </w:p>
    <w:p w14:paraId="4D318F5F" w14:textId="77777777" w:rsidR="00321F0D" w:rsidRPr="00E22FF9" w:rsidRDefault="00321F0D" w:rsidP="00EA52F2">
      <w:pPr>
        <w:ind w:firstLine="0"/>
        <w:jc w:val="left"/>
        <w:rPr>
          <w:rFonts w:asciiTheme="majorHAnsi" w:hAnsiTheme="majorHAnsi" w:cstheme="majorHAnsi"/>
          <w:lang w:val="de-AT"/>
        </w:rPr>
      </w:pPr>
      <w:r w:rsidRPr="00E22FF9">
        <w:rPr>
          <w:rFonts w:asciiTheme="majorHAnsi" w:hAnsiTheme="majorHAnsi" w:cstheme="majorHAnsi"/>
          <w:lang w:val="de-AT"/>
        </w:rPr>
        <w:t>Walter Straßer</w:t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</w:r>
      <w:r w:rsidRPr="00E22FF9">
        <w:rPr>
          <w:rFonts w:asciiTheme="majorHAnsi" w:hAnsiTheme="majorHAnsi" w:cstheme="majorHAnsi"/>
          <w:lang w:val="de-AT"/>
        </w:rPr>
        <w:tab/>
        <w:t>Marie-Therese Tropsch</w:t>
      </w:r>
    </w:p>
    <w:p w14:paraId="015619C4" w14:textId="77777777" w:rsidR="00321F0D" w:rsidRPr="00E22FF9" w:rsidRDefault="00321F0D" w:rsidP="00EA52F2">
      <w:pPr>
        <w:ind w:firstLine="0"/>
        <w:jc w:val="left"/>
        <w:rPr>
          <w:rFonts w:asciiTheme="majorHAnsi" w:hAnsiTheme="majorHAnsi" w:cstheme="majorHAnsi"/>
          <w:lang w:val="es-ES"/>
        </w:rPr>
      </w:pPr>
      <w:r w:rsidRPr="00E22FF9">
        <w:rPr>
          <w:rFonts w:asciiTheme="majorHAnsi" w:hAnsiTheme="majorHAnsi" w:cstheme="majorHAnsi"/>
          <w:lang w:val="es-ES"/>
        </w:rPr>
        <w:t>Tel. +43 1 211 14 – 111</w:t>
      </w:r>
      <w:r w:rsidRPr="00E22FF9">
        <w:rPr>
          <w:rFonts w:asciiTheme="majorHAnsi" w:hAnsiTheme="majorHAnsi" w:cstheme="majorHAnsi"/>
          <w:lang w:val="es-ES"/>
        </w:rPr>
        <w:tab/>
      </w:r>
      <w:r w:rsidRPr="00E22FF9">
        <w:rPr>
          <w:rFonts w:asciiTheme="majorHAnsi" w:hAnsiTheme="majorHAnsi" w:cstheme="majorHAnsi"/>
          <w:lang w:val="es-ES"/>
        </w:rPr>
        <w:tab/>
        <w:t>Tel. +43 1 211 14 – 117</w:t>
      </w:r>
    </w:p>
    <w:p w14:paraId="5F27170B" w14:textId="77777777" w:rsidR="00321F0D" w:rsidRPr="00E22FF9" w:rsidRDefault="00321F0D" w:rsidP="00EA52F2">
      <w:pPr>
        <w:ind w:firstLine="0"/>
        <w:jc w:val="left"/>
        <w:rPr>
          <w:rFonts w:asciiTheme="majorHAnsi" w:hAnsiTheme="majorHAnsi" w:cstheme="majorHAnsi"/>
          <w:u w:val="single"/>
          <w:lang w:val="es-ES"/>
        </w:rPr>
      </w:pPr>
      <w:hyperlink r:id="rId10" w:history="1">
        <w:r w:rsidRPr="00E22FF9">
          <w:rPr>
            <w:rStyle w:val="Hyperlink"/>
            <w:rFonts w:asciiTheme="majorHAnsi" w:hAnsiTheme="majorHAnsi" w:cstheme="majorHAnsi"/>
            <w:lang w:val="es-ES"/>
          </w:rPr>
          <w:t>walter.strasser@wien.info</w:t>
        </w:r>
      </w:hyperlink>
      <w:r w:rsidRPr="00E22FF9">
        <w:rPr>
          <w:rFonts w:asciiTheme="majorHAnsi" w:hAnsiTheme="majorHAnsi" w:cstheme="majorHAnsi"/>
          <w:lang w:val="es-ES"/>
        </w:rPr>
        <w:tab/>
      </w:r>
      <w:r w:rsidRPr="00E22FF9">
        <w:rPr>
          <w:rFonts w:asciiTheme="majorHAnsi" w:hAnsiTheme="majorHAnsi" w:cstheme="majorHAnsi"/>
          <w:lang w:val="es-ES"/>
        </w:rPr>
        <w:tab/>
      </w:r>
      <w:hyperlink r:id="rId11" w:history="1">
        <w:r w:rsidRPr="00E22FF9">
          <w:rPr>
            <w:rStyle w:val="Hyperlink"/>
            <w:rFonts w:asciiTheme="majorHAnsi" w:hAnsiTheme="majorHAnsi" w:cstheme="majorHAnsi"/>
            <w:lang w:val="es-ES"/>
          </w:rPr>
          <w:t>marie-therese.tropsch@wien.info</w:t>
        </w:r>
      </w:hyperlink>
    </w:p>
    <w:p w14:paraId="46EBFF3C" w14:textId="77777777" w:rsidR="00321F0D" w:rsidRPr="00E22FF9" w:rsidRDefault="00321F0D" w:rsidP="00EA52F2">
      <w:pPr>
        <w:ind w:firstLine="0"/>
        <w:jc w:val="left"/>
        <w:rPr>
          <w:rFonts w:asciiTheme="majorHAnsi" w:hAnsiTheme="majorHAnsi" w:cstheme="majorHAnsi"/>
          <w:szCs w:val="21"/>
          <w:lang w:val="es-ES"/>
        </w:rPr>
      </w:pPr>
    </w:p>
    <w:sectPr w:rsidR="00321F0D" w:rsidRPr="00E22FF9" w:rsidSect="00EF277F">
      <w:footerReference w:type="default" r:id="rId12"/>
      <w:footerReference w:type="first" r:id="rId13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2F46" w14:textId="77777777" w:rsidR="00321F0D" w:rsidRDefault="00321F0D" w:rsidP="00474F51">
      <w:r>
        <w:separator/>
      </w:r>
    </w:p>
  </w:endnote>
  <w:endnote w:type="continuationSeparator" w:id="0">
    <w:p w14:paraId="39E7A67D" w14:textId="77777777" w:rsidR="00321F0D" w:rsidRDefault="00321F0D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Graphik LCG TT Light">
    <w:panose1 w:val="020B040303020206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6837" w14:textId="77777777" w:rsidR="00AD479F" w:rsidRDefault="00431005" w:rsidP="0043100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8480" behindDoc="0" locked="1" layoutInCell="1" allowOverlap="1" wp14:anchorId="00C88E25" wp14:editId="2901DDC3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936000" cy="180360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fldChar w:fldCharType="begin"/>
    </w:r>
    <w:r>
      <w:instrText xml:space="preserve"> </w:instrText>
    </w:r>
    <w:r w:rsidR="00B365EC">
      <w:instrText>PAGE</w:instrText>
    </w:r>
    <w:r>
      <w:instrText xml:space="preserve">  \* MERGEFORMAT </w:instrText>
    </w:r>
    <w:r>
      <w:fldChar w:fldCharType="separate"/>
    </w:r>
    <w:r w:rsidR="004B7A66">
      <w:rPr>
        <w:noProof/>
      </w:rPr>
      <w:t>1</w:t>
    </w:r>
    <w:r>
      <w:fldChar w:fldCharType="end"/>
    </w:r>
    <w:r w:rsidR="00E54EB7">
      <w:t>/</w:t>
    </w:r>
    <w:r w:rsidR="00945057">
      <w:fldChar w:fldCharType="begin"/>
    </w:r>
    <w:r w:rsidR="00945057">
      <w:instrText xml:space="preserve"> </w:instrText>
    </w:r>
    <w:r w:rsidR="00B365EC">
      <w:instrText>NUMPAGES</w:instrText>
    </w:r>
    <w:r w:rsidR="00945057">
      <w:instrText xml:space="preserve">  \* MERGEFORMAT </w:instrText>
    </w:r>
    <w:r w:rsidR="00945057">
      <w:fldChar w:fldCharType="separate"/>
    </w:r>
    <w:r w:rsidR="004B7A66">
      <w:rPr>
        <w:noProof/>
      </w:rPr>
      <w:t>1</w:t>
    </w:r>
    <w:r w:rsidR="009450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0F21" w14:textId="77777777" w:rsidR="00313D79" w:rsidRDefault="00BA1987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47A53DC9" wp14:editId="294012FD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33B6" w14:textId="77777777" w:rsidR="00321F0D" w:rsidRDefault="00321F0D" w:rsidP="00474F51">
      <w:r>
        <w:separator/>
      </w:r>
    </w:p>
  </w:footnote>
  <w:footnote w:type="continuationSeparator" w:id="0">
    <w:p w14:paraId="2BD3256C" w14:textId="77777777" w:rsidR="00321F0D" w:rsidRDefault="00321F0D" w:rsidP="0047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EC9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EAD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00B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1E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C8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C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7CC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205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C7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EC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E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FB4AAC"/>
    <w:multiLevelType w:val="hybridMultilevel"/>
    <w:tmpl w:val="CDA6005E"/>
    <w:lvl w:ilvl="0" w:tplc="E190FD1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1A76"/>
    <w:multiLevelType w:val="multilevel"/>
    <w:tmpl w:val="CDA6005E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830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A956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0B28F1"/>
    <w:multiLevelType w:val="multilevel"/>
    <w:tmpl w:val="C074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97F7C"/>
    <w:multiLevelType w:val="multilevel"/>
    <w:tmpl w:val="25ACB0F2"/>
    <w:lvl w:ilvl="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F0CC9"/>
    <w:multiLevelType w:val="hybridMultilevel"/>
    <w:tmpl w:val="7AFA36B6"/>
    <w:lvl w:ilvl="0" w:tplc="D14CED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E52236" w:themeColor="accent1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01F79"/>
    <w:multiLevelType w:val="multilevel"/>
    <w:tmpl w:val="D690E4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30E6970"/>
    <w:multiLevelType w:val="hybridMultilevel"/>
    <w:tmpl w:val="9A74BEB6"/>
    <w:lvl w:ilvl="0" w:tplc="19041ABA">
      <w:start w:val="1"/>
      <w:numFmt w:val="decimal"/>
      <w:lvlText w:val="%1."/>
      <w:lvlJc w:val="left"/>
      <w:pPr>
        <w:ind w:left="927" w:hanging="360"/>
      </w:pPr>
      <w:rPr>
        <w:rFonts w:ascii="Graphik LCG Light" w:hAnsi="Graphik LCG Light" w:hint="default"/>
        <w:b w:val="0"/>
        <w:i w:val="0"/>
        <w:color w:val="E52236" w:themeColor="accent1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190F"/>
    <w:multiLevelType w:val="multilevel"/>
    <w:tmpl w:val="26AAD5B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2613649"/>
    <w:multiLevelType w:val="hybridMultilevel"/>
    <w:tmpl w:val="B658BB12"/>
    <w:lvl w:ilvl="0" w:tplc="1A9E94F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6B5"/>
    <w:multiLevelType w:val="hybridMultilevel"/>
    <w:tmpl w:val="25ACB0F2"/>
    <w:lvl w:ilvl="0" w:tplc="30FA337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556F3"/>
    <w:multiLevelType w:val="multilevel"/>
    <w:tmpl w:val="3EC8EA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59549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041C0"/>
    <w:multiLevelType w:val="multilevel"/>
    <w:tmpl w:val="B658BB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6E16"/>
    <w:multiLevelType w:val="hybridMultilevel"/>
    <w:tmpl w:val="43EC24DA"/>
    <w:lvl w:ilvl="0" w:tplc="CF7C5F5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A5CA9"/>
    <w:multiLevelType w:val="hybridMultilevel"/>
    <w:tmpl w:val="0EF2C2F2"/>
    <w:lvl w:ilvl="0" w:tplc="F2AEC2F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D2BDF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31FA9"/>
    <w:multiLevelType w:val="multilevel"/>
    <w:tmpl w:val="8CF6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0163"/>
    <w:multiLevelType w:val="hybridMultilevel"/>
    <w:tmpl w:val="A64C40B2"/>
    <w:lvl w:ilvl="0" w:tplc="A3A8CF92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4AFD"/>
    <w:multiLevelType w:val="multilevel"/>
    <w:tmpl w:val="94B08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0F52E59"/>
    <w:multiLevelType w:val="multilevel"/>
    <w:tmpl w:val="BA5264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11C7DCF"/>
    <w:multiLevelType w:val="hybridMultilevel"/>
    <w:tmpl w:val="B4EE7B92"/>
    <w:lvl w:ilvl="0" w:tplc="CCB02FE4">
      <w:start w:val="1"/>
      <w:numFmt w:val="decimal"/>
      <w:pStyle w:val="Nummerierung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F46C9"/>
    <w:multiLevelType w:val="hybridMultilevel"/>
    <w:tmpl w:val="8CF63EA0"/>
    <w:lvl w:ilvl="0" w:tplc="0E8A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4E43"/>
    <w:multiLevelType w:val="multilevel"/>
    <w:tmpl w:val="43EC24D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E38B7"/>
    <w:multiLevelType w:val="hybridMultilevel"/>
    <w:tmpl w:val="E5FA5D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B28BC"/>
    <w:multiLevelType w:val="multilevel"/>
    <w:tmpl w:val="6EE85974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C53ED"/>
    <w:multiLevelType w:val="hybridMultilevel"/>
    <w:tmpl w:val="0256D4C6"/>
    <w:lvl w:ilvl="0" w:tplc="0AACA7AC">
      <w:start w:val="1"/>
      <w:numFmt w:val="bullet"/>
      <w:pStyle w:val="Aufzhlung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E5E16"/>
    <w:multiLevelType w:val="multilevel"/>
    <w:tmpl w:val="0EF2C2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07760">
    <w:abstractNumId w:val="11"/>
  </w:num>
  <w:num w:numId="2" w16cid:durableId="1436166763">
    <w:abstractNumId w:val="22"/>
  </w:num>
  <w:num w:numId="3" w16cid:durableId="1057432312">
    <w:abstractNumId w:val="12"/>
  </w:num>
  <w:num w:numId="4" w16cid:durableId="1977444343">
    <w:abstractNumId w:val="35"/>
  </w:num>
  <w:num w:numId="5" w16cid:durableId="1970164473">
    <w:abstractNumId w:val="27"/>
  </w:num>
  <w:num w:numId="6" w16cid:durableId="242227322">
    <w:abstractNumId w:val="37"/>
  </w:num>
  <w:num w:numId="7" w16cid:durableId="528417962">
    <w:abstractNumId w:val="31"/>
  </w:num>
  <w:num w:numId="8" w16cid:durableId="544753691">
    <w:abstractNumId w:val="25"/>
  </w:num>
  <w:num w:numId="9" w16cid:durableId="1165047167">
    <w:abstractNumId w:val="16"/>
  </w:num>
  <w:num w:numId="10" w16cid:durableId="1494031777">
    <w:abstractNumId w:val="18"/>
  </w:num>
  <w:num w:numId="11" w16cid:durableId="49810118">
    <w:abstractNumId w:val="13"/>
  </w:num>
  <w:num w:numId="12" w16cid:durableId="2141459143">
    <w:abstractNumId w:val="14"/>
  </w:num>
  <w:num w:numId="13" w16cid:durableId="1589851952">
    <w:abstractNumId w:val="29"/>
  </w:num>
  <w:num w:numId="14" w16cid:durableId="1533036685">
    <w:abstractNumId w:val="32"/>
  </w:num>
  <w:num w:numId="15" w16cid:durableId="1794861997">
    <w:abstractNumId w:val="30"/>
  </w:num>
  <w:num w:numId="16" w16cid:durableId="413283221">
    <w:abstractNumId w:val="42"/>
  </w:num>
  <w:num w:numId="17" w16cid:durableId="1566794517">
    <w:abstractNumId w:val="24"/>
  </w:num>
  <w:num w:numId="18" w16cid:durableId="1760953049">
    <w:abstractNumId w:val="28"/>
  </w:num>
  <w:num w:numId="19" w16cid:durableId="102044027">
    <w:abstractNumId w:val="21"/>
  </w:num>
  <w:num w:numId="20" w16cid:durableId="862283602">
    <w:abstractNumId w:val="38"/>
  </w:num>
  <w:num w:numId="21" w16cid:durableId="1673990195">
    <w:abstractNumId w:val="19"/>
  </w:num>
  <w:num w:numId="22" w16cid:durableId="451677219">
    <w:abstractNumId w:val="0"/>
  </w:num>
  <w:num w:numId="23" w16cid:durableId="1542935220">
    <w:abstractNumId w:val="1"/>
  </w:num>
  <w:num w:numId="24" w16cid:durableId="927269557">
    <w:abstractNumId w:val="2"/>
  </w:num>
  <w:num w:numId="25" w16cid:durableId="926309225">
    <w:abstractNumId w:val="3"/>
  </w:num>
  <w:num w:numId="26" w16cid:durableId="395667208">
    <w:abstractNumId w:val="4"/>
  </w:num>
  <w:num w:numId="27" w16cid:durableId="1196457091">
    <w:abstractNumId w:val="9"/>
  </w:num>
  <w:num w:numId="28" w16cid:durableId="380522169">
    <w:abstractNumId w:val="5"/>
  </w:num>
  <w:num w:numId="29" w16cid:durableId="347097284">
    <w:abstractNumId w:val="6"/>
  </w:num>
  <w:num w:numId="30" w16cid:durableId="297494334">
    <w:abstractNumId w:val="7"/>
  </w:num>
  <w:num w:numId="31" w16cid:durableId="148059540">
    <w:abstractNumId w:val="8"/>
  </w:num>
  <w:num w:numId="32" w16cid:durableId="82804028">
    <w:abstractNumId w:val="10"/>
  </w:num>
  <w:num w:numId="33" w16cid:durableId="1665670318">
    <w:abstractNumId w:val="15"/>
  </w:num>
  <w:num w:numId="34" w16cid:durableId="386876960">
    <w:abstractNumId w:val="34"/>
  </w:num>
  <w:num w:numId="35" w16cid:durableId="1288971624">
    <w:abstractNumId w:val="26"/>
  </w:num>
  <w:num w:numId="36" w16cid:durableId="1302997638">
    <w:abstractNumId w:val="20"/>
  </w:num>
  <w:num w:numId="37" w16cid:durableId="759914132">
    <w:abstractNumId w:val="23"/>
  </w:num>
  <w:num w:numId="38" w16cid:durableId="1926760298">
    <w:abstractNumId w:val="36"/>
  </w:num>
  <w:num w:numId="39" w16cid:durableId="1960141418">
    <w:abstractNumId w:val="33"/>
  </w:num>
  <w:num w:numId="40" w16cid:durableId="2040667083">
    <w:abstractNumId w:val="40"/>
  </w:num>
  <w:num w:numId="41" w16cid:durableId="30227003">
    <w:abstractNumId w:val="41"/>
  </w:num>
  <w:num w:numId="42" w16cid:durableId="387532373">
    <w:abstractNumId w:val="39"/>
  </w:num>
  <w:num w:numId="43" w16cid:durableId="163633040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0D"/>
    <w:rsid w:val="00000788"/>
    <w:rsid w:val="000158F1"/>
    <w:rsid w:val="00021A4A"/>
    <w:rsid w:val="00024E41"/>
    <w:rsid w:val="000252E1"/>
    <w:rsid w:val="00036856"/>
    <w:rsid w:val="00052DC1"/>
    <w:rsid w:val="00055911"/>
    <w:rsid w:val="00057F74"/>
    <w:rsid w:val="00067556"/>
    <w:rsid w:val="000716EE"/>
    <w:rsid w:val="00072209"/>
    <w:rsid w:val="00077F49"/>
    <w:rsid w:val="00080FD6"/>
    <w:rsid w:val="000949DB"/>
    <w:rsid w:val="00095BAA"/>
    <w:rsid w:val="00097195"/>
    <w:rsid w:val="000A6C31"/>
    <w:rsid w:val="000C25B0"/>
    <w:rsid w:val="000D3840"/>
    <w:rsid w:val="000D45B0"/>
    <w:rsid w:val="000E0DB4"/>
    <w:rsid w:val="000F43A4"/>
    <w:rsid w:val="00102099"/>
    <w:rsid w:val="001060C6"/>
    <w:rsid w:val="00115FAC"/>
    <w:rsid w:val="0012071B"/>
    <w:rsid w:val="00130A80"/>
    <w:rsid w:val="001516E1"/>
    <w:rsid w:val="00154274"/>
    <w:rsid w:val="001565B0"/>
    <w:rsid w:val="00161DD6"/>
    <w:rsid w:val="001622A8"/>
    <w:rsid w:val="001659D7"/>
    <w:rsid w:val="00167392"/>
    <w:rsid w:val="00170ABD"/>
    <w:rsid w:val="0017342B"/>
    <w:rsid w:val="001A7B45"/>
    <w:rsid w:val="001B3832"/>
    <w:rsid w:val="001B48F1"/>
    <w:rsid w:val="001B5007"/>
    <w:rsid w:val="001C1BF3"/>
    <w:rsid w:val="001C30E9"/>
    <w:rsid w:val="001C3B66"/>
    <w:rsid w:val="001C7ADF"/>
    <w:rsid w:val="001D2FD1"/>
    <w:rsid w:val="001E1943"/>
    <w:rsid w:val="001F538B"/>
    <w:rsid w:val="001F5E75"/>
    <w:rsid w:val="00205F09"/>
    <w:rsid w:val="002200A9"/>
    <w:rsid w:val="00227B87"/>
    <w:rsid w:val="0023358B"/>
    <w:rsid w:val="0024079C"/>
    <w:rsid w:val="00241103"/>
    <w:rsid w:val="00243573"/>
    <w:rsid w:val="00245D8A"/>
    <w:rsid w:val="00250446"/>
    <w:rsid w:val="00251921"/>
    <w:rsid w:val="002676CF"/>
    <w:rsid w:val="002714A5"/>
    <w:rsid w:val="002771E0"/>
    <w:rsid w:val="00282681"/>
    <w:rsid w:val="002837BF"/>
    <w:rsid w:val="00286626"/>
    <w:rsid w:val="002A0943"/>
    <w:rsid w:val="002A112B"/>
    <w:rsid w:val="002B0253"/>
    <w:rsid w:val="002B4BD6"/>
    <w:rsid w:val="002B7A9F"/>
    <w:rsid w:val="002C4539"/>
    <w:rsid w:val="002D1149"/>
    <w:rsid w:val="002E068C"/>
    <w:rsid w:val="002E56D4"/>
    <w:rsid w:val="0030347C"/>
    <w:rsid w:val="00313D79"/>
    <w:rsid w:val="003173AB"/>
    <w:rsid w:val="00321F0D"/>
    <w:rsid w:val="00332741"/>
    <w:rsid w:val="0034026F"/>
    <w:rsid w:val="0034641F"/>
    <w:rsid w:val="00355CCA"/>
    <w:rsid w:val="00356D8B"/>
    <w:rsid w:val="00357D04"/>
    <w:rsid w:val="00362ED1"/>
    <w:rsid w:val="003708FA"/>
    <w:rsid w:val="00377D77"/>
    <w:rsid w:val="003865DB"/>
    <w:rsid w:val="003A2371"/>
    <w:rsid w:val="003A3232"/>
    <w:rsid w:val="003A5A74"/>
    <w:rsid w:val="003B086F"/>
    <w:rsid w:val="003B19D4"/>
    <w:rsid w:val="003B2253"/>
    <w:rsid w:val="003B5776"/>
    <w:rsid w:val="003B6A5A"/>
    <w:rsid w:val="003C55D6"/>
    <w:rsid w:val="003F0B1D"/>
    <w:rsid w:val="003F1B94"/>
    <w:rsid w:val="003F4DEB"/>
    <w:rsid w:val="0040014C"/>
    <w:rsid w:val="004020EA"/>
    <w:rsid w:val="00403BB4"/>
    <w:rsid w:val="0040406D"/>
    <w:rsid w:val="00406CBE"/>
    <w:rsid w:val="00416458"/>
    <w:rsid w:val="00420648"/>
    <w:rsid w:val="00431005"/>
    <w:rsid w:val="004376BF"/>
    <w:rsid w:val="00453809"/>
    <w:rsid w:val="004552DA"/>
    <w:rsid w:val="00455D80"/>
    <w:rsid w:val="00474F51"/>
    <w:rsid w:val="00482A09"/>
    <w:rsid w:val="00486F0B"/>
    <w:rsid w:val="004938A3"/>
    <w:rsid w:val="00494418"/>
    <w:rsid w:val="004958FA"/>
    <w:rsid w:val="00497071"/>
    <w:rsid w:val="004A36CE"/>
    <w:rsid w:val="004A69BF"/>
    <w:rsid w:val="004B7838"/>
    <w:rsid w:val="004B7A66"/>
    <w:rsid w:val="004C33B3"/>
    <w:rsid w:val="004C3692"/>
    <w:rsid w:val="004C7043"/>
    <w:rsid w:val="004D3DEC"/>
    <w:rsid w:val="00502F62"/>
    <w:rsid w:val="00504949"/>
    <w:rsid w:val="00504A99"/>
    <w:rsid w:val="0051191C"/>
    <w:rsid w:val="0051451B"/>
    <w:rsid w:val="005204BB"/>
    <w:rsid w:val="00531819"/>
    <w:rsid w:val="00532913"/>
    <w:rsid w:val="005332E0"/>
    <w:rsid w:val="0054028E"/>
    <w:rsid w:val="005464BB"/>
    <w:rsid w:val="00551AEC"/>
    <w:rsid w:val="0055246A"/>
    <w:rsid w:val="005531CA"/>
    <w:rsid w:val="005538A8"/>
    <w:rsid w:val="00563E1D"/>
    <w:rsid w:val="00565D39"/>
    <w:rsid w:val="00565DD7"/>
    <w:rsid w:val="00566DF3"/>
    <w:rsid w:val="00570455"/>
    <w:rsid w:val="00574CAE"/>
    <w:rsid w:val="00581BAC"/>
    <w:rsid w:val="00595CE3"/>
    <w:rsid w:val="005A0C22"/>
    <w:rsid w:val="005A2E17"/>
    <w:rsid w:val="005A4AE9"/>
    <w:rsid w:val="005A6224"/>
    <w:rsid w:val="005A6D42"/>
    <w:rsid w:val="005C09D7"/>
    <w:rsid w:val="005C2B31"/>
    <w:rsid w:val="005D28CC"/>
    <w:rsid w:val="00600956"/>
    <w:rsid w:val="00604CBF"/>
    <w:rsid w:val="00620D5E"/>
    <w:rsid w:val="00624513"/>
    <w:rsid w:val="00627977"/>
    <w:rsid w:val="00630636"/>
    <w:rsid w:val="00636FD7"/>
    <w:rsid w:val="00637B68"/>
    <w:rsid w:val="00640BD0"/>
    <w:rsid w:val="00642045"/>
    <w:rsid w:val="006445D7"/>
    <w:rsid w:val="00644DD4"/>
    <w:rsid w:val="00646C90"/>
    <w:rsid w:val="00650D77"/>
    <w:rsid w:val="00657479"/>
    <w:rsid w:val="006673DB"/>
    <w:rsid w:val="00680CD5"/>
    <w:rsid w:val="00684C93"/>
    <w:rsid w:val="00692EAE"/>
    <w:rsid w:val="006A7D99"/>
    <w:rsid w:val="006B0843"/>
    <w:rsid w:val="006B1804"/>
    <w:rsid w:val="006B30A0"/>
    <w:rsid w:val="006B6449"/>
    <w:rsid w:val="006C09FA"/>
    <w:rsid w:val="006C6A5D"/>
    <w:rsid w:val="006D41FB"/>
    <w:rsid w:val="006E1250"/>
    <w:rsid w:val="00703090"/>
    <w:rsid w:val="00706E22"/>
    <w:rsid w:val="00716105"/>
    <w:rsid w:val="007235F2"/>
    <w:rsid w:val="007247EE"/>
    <w:rsid w:val="00731617"/>
    <w:rsid w:val="007337FC"/>
    <w:rsid w:val="007377CE"/>
    <w:rsid w:val="00740E04"/>
    <w:rsid w:val="00745C5A"/>
    <w:rsid w:val="00745F92"/>
    <w:rsid w:val="007658C7"/>
    <w:rsid w:val="00773AC0"/>
    <w:rsid w:val="0077766B"/>
    <w:rsid w:val="00777A8F"/>
    <w:rsid w:val="0078183A"/>
    <w:rsid w:val="007856F3"/>
    <w:rsid w:val="00786AA8"/>
    <w:rsid w:val="007B1E63"/>
    <w:rsid w:val="007D2F5A"/>
    <w:rsid w:val="007D6465"/>
    <w:rsid w:val="007E3014"/>
    <w:rsid w:val="007E44A5"/>
    <w:rsid w:val="007E58FA"/>
    <w:rsid w:val="007F2E0A"/>
    <w:rsid w:val="00807E38"/>
    <w:rsid w:val="008103DF"/>
    <w:rsid w:val="00814B67"/>
    <w:rsid w:val="00817455"/>
    <w:rsid w:val="00823C1B"/>
    <w:rsid w:val="00823F98"/>
    <w:rsid w:val="0082538A"/>
    <w:rsid w:val="0083031E"/>
    <w:rsid w:val="00836654"/>
    <w:rsid w:val="00836A29"/>
    <w:rsid w:val="00840ED4"/>
    <w:rsid w:val="0084258E"/>
    <w:rsid w:val="008442F8"/>
    <w:rsid w:val="0086668D"/>
    <w:rsid w:val="00867B42"/>
    <w:rsid w:val="00871DBD"/>
    <w:rsid w:val="00880771"/>
    <w:rsid w:val="008813A8"/>
    <w:rsid w:val="008B212E"/>
    <w:rsid w:val="008B5676"/>
    <w:rsid w:val="008C0A4B"/>
    <w:rsid w:val="008C19A5"/>
    <w:rsid w:val="008E30FB"/>
    <w:rsid w:val="008E635C"/>
    <w:rsid w:val="008F17C7"/>
    <w:rsid w:val="008F6326"/>
    <w:rsid w:val="00901BFA"/>
    <w:rsid w:val="00905D5B"/>
    <w:rsid w:val="0092251D"/>
    <w:rsid w:val="0092650F"/>
    <w:rsid w:val="009324C5"/>
    <w:rsid w:val="00937A51"/>
    <w:rsid w:val="00937C02"/>
    <w:rsid w:val="00941E1E"/>
    <w:rsid w:val="0094364E"/>
    <w:rsid w:val="00943CA8"/>
    <w:rsid w:val="00945057"/>
    <w:rsid w:val="00955231"/>
    <w:rsid w:val="00970553"/>
    <w:rsid w:val="00971232"/>
    <w:rsid w:val="0099078F"/>
    <w:rsid w:val="009B086A"/>
    <w:rsid w:val="009B2842"/>
    <w:rsid w:val="009B3393"/>
    <w:rsid w:val="009C022F"/>
    <w:rsid w:val="009C2F51"/>
    <w:rsid w:val="009D0DEF"/>
    <w:rsid w:val="009D2A90"/>
    <w:rsid w:val="009E28E4"/>
    <w:rsid w:val="009E3299"/>
    <w:rsid w:val="009F729B"/>
    <w:rsid w:val="00A05F0B"/>
    <w:rsid w:val="00A07998"/>
    <w:rsid w:val="00A1240D"/>
    <w:rsid w:val="00A12818"/>
    <w:rsid w:val="00A55933"/>
    <w:rsid w:val="00A60045"/>
    <w:rsid w:val="00A66F32"/>
    <w:rsid w:val="00A70B7E"/>
    <w:rsid w:val="00A94DD5"/>
    <w:rsid w:val="00AA07D8"/>
    <w:rsid w:val="00AA39A4"/>
    <w:rsid w:val="00AA5765"/>
    <w:rsid w:val="00AB3825"/>
    <w:rsid w:val="00AB65BA"/>
    <w:rsid w:val="00AD479F"/>
    <w:rsid w:val="00AD62F0"/>
    <w:rsid w:val="00AE3AF2"/>
    <w:rsid w:val="00AE6D98"/>
    <w:rsid w:val="00AF0029"/>
    <w:rsid w:val="00AF1056"/>
    <w:rsid w:val="00AF23C2"/>
    <w:rsid w:val="00AF3D9E"/>
    <w:rsid w:val="00AF559D"/>
    <w:rsid w:val="00B00A79"/>
    <w:rsid w:val="00B01D5B"/>
    <w:rsid w:val="00B12D80"/>
    <w:rsid w:val="00B13391"/>
    <w:rsid w:val="00B15C88"/>
    <w:rsid w:val="00B16FAB"/>
    <w:rsid w:val="00B210CD"/>
    <w:rsid w:val="00B365EC"/>
    <w:rsid w:val="00B46FD1"/>
    <w:rsid w:val="00B54946"/>
    <w:rsid w:val="00B56F6B"/>
    <w:rsid w:val="00B70B88"/>
    <w:rsid w:val="00B71AC8"/>
    <w:rsid w:val="00B814E3"/>
    <w:rsid w:val="00B82626"/>
    <w:rsid w:val="00B945F0"/>
    <w:rsid w:val="00BA1987"/>
    <w:rsid w:val="00BA5F00"/>
    <w:rsid w:val="00BB497D"/>
    <w:rsid w:val="00BB6130"/>
    <w:rsid w:val="00BC5739"/>
    <w:rsid w:val="00BC6579"/>
    <w:rsid w:val="00BD6998"/>
    <w:rsid w:val="00BE07BF"/>
    <w:rsid w:val="00BF7239"/>
    <w:rsid w:val="00C135B6"/>
    <w:rsid w:val="00C24F26"/>
    <w:rsid w:val="00C45193"/>
    <w:rsid w:val="00C677BB"/>
    <w:rsid w:val="00C67A4C"/>
    <w:rsid w:val="00C76916"/>
    <w:rsid w:val="00C77F81"/>
    <w:rsid w:val="00CA0D29"/>
    <w:rsid w:val="00CA1720"/>
    <w:rsid w:val="00CB0F65"/>
    <w:rsid w:val="00CC36F3"/>
    <w:rsid w:val="00CC71AF"/>
    <w:rsid w:val="00CD4CD0"/>
    <w:rsid w:val="00D0042B"/>
    <w:rsid w:val="00D171A2"/>
    <w:rsid w:val="00D17D98"/>
    <w:rsid w:val="00D27649"/>
    <w:rsid w:val="00D34387"/>
    <w:rsid w:val="00D36DEE"/>
    <w:rsid w:val="00D37C58"/>
    <w:rsid w:val="00D43B4B"/>
    <w:rsid w:val="00D5537F"/>
    <w:rsid w:val="00D567D3"/>
    <w:rsid w:val="00D60E5F"/>
    <w:rsid w:val="00D65C09"/>
    <w:rsid w:val="00D67A14"/>
    <w:rsid w:val="00D717F1"/>
    <w:rsid w:val="00D81AD7"/>
    <w:rsid w:val="00D81E1D"/>
    <w:rsid w:val="00D85D87"/>
    <w:rsid w:val="00D864D0"/>
    <w:rsid w:val="00D87109"/>
    <w:rsid w:val="00DA4809"/>
    <w:rsid w:val="00DB01B6"/>
    <w:rsid w:val="00DB051B"/>
    <w:rsid w:val="00DB1481"/>
    <w:rsid w:val="00DC0406"/>
    <w:rsid w:val="00DC3828"/>
    <w:rsid w:val="00DC389E"/>
    <w:rsid w:val="00DE45CF"/>
    <w:rsid w:val="00DF238A"/>
    <w:rsid w:val="00E0688D"/>
    <w:rsid w:val="00E10B86"/>
    <w:rsid w:val="00E173B3"/>
    <w:rsid w:val="00E22FF9"/>
    <w:rsid w:val="00E27ADB"/>
    <w:rsid w:val="00E3719B"/>
    <w:rsid w:val="00E431D2"/>
    <w:rsid w:val="00E4390D"/>
    <w:rsid w:val="00E5434E"/>
    <w:rsid w:val="00E54EB7"/>
    <w:rsid w:val="00E676AC"/>
    <w:rsid w:val="00E838AE"/>
    <w:rsid w:val="00E84A57"/>
    <w:rsid w:val="00E978C1"/>
    <w:rsid w:val="00EA1755"/>
    <w:rsid w:val="00EA1FF7"/>
    <w:rsid w:val="00EA52F2"/>
    <w:rsid w:val="00EC0DC2"/>
    <w:rsid w:val="00EE001D"/>
    <w:rsid w:val="00EE2EF4"/>
    <w:rsid w:val="00EE50E9"/>
    <w:rsid w:val="00EE5245"/>
    <w:rsid w:val="00EF0889"/>
    <w:rsid w:val="00EF11F6"/>
    <w:rsid w:val="00EF277F"/>
    <w:rsid w:val="00F04E62"/>
    <w:rsid w:val="00F060ED"/>
    <w:rsid w:val="00F162DF"/>
    <w:rsid w:val="00F2083A"/>
    <w:rsid w:val="00F24980"/>
    <w:rsid w:val="00F37E5A"/>
    <w:rsid w:val="00F65CB1"/>
    <w:rsid w:val="00F731DD"/>
    <w:rsid w:val="00F85BF1"/>
    <w:rsid w:val="00FA42D0"/>
    <w:rsid w:val="00FA5EFE"/>
    <w:rsid w:val="00FB4D90"/>
    <w:rsid w:val="00FB4E8F"/>
    <w:rsid w:val="00FC55C6"/>
    <w:rsid w:val="00FD4086"/>
    <w:rsid w:val="00FE1B74"/>
    <w:rsid w:val="00FE5C1D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C997"/>
  <w14:defaultImageDpi w14:val="32767"/>
  <w15:chartTrackingRefBased/>
  <w15:docId w15:val="{16F01918-5676-43EA-9EB7-7023A12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raphik LCG TT Light" w:eastAsiaTheme="minorHAnsi" w:hAnsi="Graphik LCG TT Light" w:cstheme="minorBidi"/>
        <w:color w:val="000000" w:themeColor="text1"/>
        <w:spacing w:val="4"/>
        <w:sz w:val="2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AE6D98"/>
    <w:pPr>
      <w:spacing w:line="280" w:lineRule="atLeast"/>
      <w:ind w:firstLine="567"/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5332E0"/>
    <w:pPr>
      <w:keepNext/>
      <w:keepLines/>
      <w:numPr>
        <w:numId w:val="4"/>
      </w:numPr>
      <w:spacing w:after="60" w:line="320" w:lineRule="exact"/>
      <w:jc w:val="left"/>
      <w:outlineLvl w:val="0"/>
    </w:pPr>
    <w:rPr>
      <w:rFonts w:eastAsiaTheme="majorEastAsia" w:cstheme="majorBidi"/>
      <w:color w:val="E52236" w:themeColor="accent1"/>
      <w:spacing w:val="0"/>
      <w:sz w:val="28"/>
      <w:szCs w:val="32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5332E0"/>
    <w:pPr>
      <w:numPr>
        <w:ilvl w:val="1"/>
      </w:numPr>
      <w:spacing w:line="280" w:lineRule="exact"/>
      <w:outlineLvl w:val="1"/>
    </w:pPr>
    <w:rPr>
      <w:caps/>
      <w:sz w:val="21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5332E0"/>
    <w:pPr>
      <w:numPr>
        <w:ilvl w:val="2"/>
      </w:numPr>
      <w:outlineLvl w:val="2"/>
    </w:pPr>
    <w:rPr>
      <w:bCs/>
      <w:caps w:val="0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332E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color w:val="E5223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2E0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AF14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2E0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740D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2E0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40D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2E0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2E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nangabe">
    <w:name w:val="Tabelle Quellenangabe"/>
    <w:basedOn w:val="Standard"/>
    <w:qFormat/>
    <w:rsid w:val="002200A9"/>
    <w:pPr>
      <w:spacing w:before="160" w:after="300" w:line="200" w:lineRule="exact"/>
      <w:ind w:firstLine="0"/>
      <w:jc w:val="left"/>
    </w:pPr>
    <w:rPr>
      <w:iCs/>
      <w:sz w:val="16"/>
      <w:szCs w:val="18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817455"/>
    <w:rPr>
      <w:rFonts w:ascii="Graphik LCG Light" w:eastAsiaTheme="majorEastAsia" w:hAnsi="Graphik LCG Light" w:cstheme="majorBidi"/>
      <w:color w:val="E52236" w:themeColor="accent1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D3840"/>
    <w:pPr>
      <w:tabs>
        <w:tab w:val="center" w:pos="4536"/>
        <w:tab w:val="right" w:pos="9072"/>
      </w:tabs>
      <w:ind w:firstLine="0"/>
      <w:jc w:val="left"/>
    </w:pPr>
    <w:rPr>
      <w:caps/>
      <w:spacing w:val="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840"/>
    <w:rPr>
      <w:rFonts w:ascii="Graphik LCG Light" w:hAnsi="Graphik LCG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6F0B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jc w:val="right"/>
    </w:pPr>
    <w:rPr>
      <w:color w:val="E52236" w:themeColor="accent1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86F0B"/>
    <w:rPr>
      <w:rFonts w:ascii="Graphik LCG Light" w:hAnsi="Graphik LCG Light"/>
      <w:color w:val="E52236" w:themeColor="accent1"/>
      <w:spacing w:val="4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ind w:left="720"/>
      <w:contextualSpacing/>
    </w:pPr>
  </w:style>
  <w:style w:type="paragraph" w:customStyle="1" w:styleId="Subheadline">
    <w:name w:val="Subheadline"/>
    <w:basedOn w:val="Headline"/>
    <w:qFormat/>
    <w:rsid w:val="00817455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54028E"/>
    <w:pPr>
      <w:spacing w:after="60" w:line="160" w:lineRule="exact"/>
      <w:ind w:firstLine="0"/>
    </w:pPr>
    <w:rPr>
      <w:rFonts w:ascii="Graphik LCG" w:hAnsi="Graphik LCG"/>
      <w:sz w:val="13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028E"/>
    <w:rPr>
      <w:rFonts w:ascii="Graphik LCG" w:hAnsi="Graphik LCG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486F0B"/>
    <w:rPr>
      <w:rFonts w:ascii="Graphik LCG Light" w:hAnsi="Graphik LCG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32E0"/>
    <w:rPr>
      <w:rFonts w:ascii="Graphik LCG Light" w:eastAsiaTheme="majorEastAsia" w:hAnsi="Graphik LCG Light" w:cstheme="majorBidi"/>
      <w:caps/>
      <w:color w:val="E52236" w:themeColor="accent1"/>
      <w:sz w:val="21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5332E0"/>
    <w:rPr>
      <w:rFonts w:ascii="Graphik LCG Light" w:eastAsiaTheme="majorEastAsia" w:hAnsi="Graphik LCG Light" w:cstheme="majorBidi"/>
      <w:bCs/>
      <w:color w:val="000000" w:themeColor="text1"/>
      <w:sz w:val="21"/>
      <w:szCs w:val="26"/>
    </w:rPr>
  </w:style>
  <w:style w:type="paragraph" w:styleId="Inhaltsverzeichnisberschrift">
    <w:name w:val="TOC Heading"/>
    <w:basedOn w:val="Headline"/>
    <w:next w:val="Standard"/>
    <w:uiPriority w:val="39"/>
    <w:unhideWhenUsed/>
    <w:rsid w:val="00FC55C6"/>
    <w:pPr>
      <w:spacing w:before="480" w:line="276" w:lineRule="auto"/>
      <w:jc w:val="left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rsid w:val="00EE2EF4"/>
    <w:pPr>
      <w:tabs>
        <w:tab w:val="left" w:pos="567"/>
      </w:tabs>
      <w:spacing w:before="120" w:line="320" w:lineRule="exact"/>
      <w:ind w:firstLine="0"/>
      <w:jc w:val="left"/>
    </w:pPr>
    <w:rPr>
      <w:rFonts w:cstheme="minorHAnsi"/>
      <w:bCs/>
      <w:color w:val="E52236" w:themeColor="accent1"/>
    </w:rPr>
  </w:style>
  <w:style w:type="paragraph" w:styleId="Verzeichnis2">
    <w:name w:val="toc 2"/>
    <w:basedOn w:val="Standard"/>
    <w:next w:val="Standard"/>
    <w:uiPriority w:val="39"/>
    <w:unhideWhenUsed/>
    <w:rsid w:val="00EE2EF4"/>
    <w:pPr>
      <w:tabs>
        <w:tab w:val="left" w:pos="567"/>
      </w:tabs>
      <w:ind w:firstLine="0"/>
      <w:jc w:val="left"/>
    </w:pPr>
    <w:rPr>
      <w:rFonts w:cstheme="minorHAnsi"/>
      <w:bCs/>
      <w:szCs w:val="22"/>
    </w:rPr>
  </w:style>
  <w:style w:type="paragraph" w:styleId="Verzeichnis3">
    <w:name w:val="toc 3"/>
    <w:basedOn w:val="Standard"/>
    <w:uiPriority w:val="39"/>
    <w:unhideWhenUsed/>
    <w:rsid w:val="00EE2EF4"/>
    <w:pPr>
      <w:tabs>
        <w:tab w:val="left" w:pos="567"/>
      </w:tabs>
      <w:ind w:left="567" w:firstLine="0"/>
      <w:jc w:val="left"/>
    </w:pPr>
    <w:rPr>
      <w:rFonts w:cstheme="minorHAnsi"/>
      <w:szCs w:val="22"/>
    </w:rPr>
  </w:style>
  <w:style w:type="character" w:styleId="Hyperlink">
    <w:name w:val="Hyperlink"/>
    <w:basedOn w:val="Absatz-Standardschriftart"/>
    <w:uiPriority w:val="99"/>
    <w:unhideWhenUsed/>
    <w:qFormat/>
    <w:rsid w:val="00817455"/>
    <w:rPr>
      <w:rFonts w:ascii="Graphik LCG Light" w:hAnsi="Graphik LCG Light"/>
      <w:b w:val="0"/>
      <w:bCs w:val="0"/>
      <w:i w:val="0"/>
      <w:iCs w:val="0"/>
      <w:color w:val="E52236" w:themeColor="accent1"/>
      <w:sz w:val="21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Headline">
    <w:name w:val="Headline"/>
    <w:basedOn w:val="Standard"/>
    <w:qFormat/>
    <w:rsid w:val="00817455"/>
    <w:pPr>
      <w:spacing w:line="680" w:lineRule="exact"/>
      <w:ind w:firstLine="0"/>
      <w:contextualSpacing/>
      <w:jc w:val="center"/>
    </w:pPr>
    <w:rPr>
      <w:color w:val="E52236" w:themeColor="accent1"/>
      <w:sz w:val="6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F0B"/>
    <w:rPr>
      <w:rFonts w:ascii="Graphik LCG Light" w:eastAsiaTheme="majorEastAsia" w:hAnsi="Graphik LCG Light" w:cstheme="majorBidi"/>
      <w:color w:val="E52236" w:themeColor="accent1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AF1424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740D1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7856F3"/>
    <w:pPr>
      <w:spacing w:before="280" w:after="100"/>
      <w:ind w:firstLine="0"/>
      <w:jc w:val="left"/>
    </w:pPr>
    <w:rPr>
      <w:caps/>
      <w:color w:val="E52236" w:themeColor="accent1"/>
    </w:rPr>
  </w:style>
  <w:style w:type="paragraph" w:customStyle="1" w:styleId="TabelleTextRot">
    <w:name w:val="Tabelle Text Rot"/>
    <w:basedOn w:val="TabelleTextSchwarz"/>
    <w:qFormat/>
    <w:rsid w:val="00BA5F00"/>
    <w:pPr>
      <w:spacing w:line="240" w:lineRule="auto"/>
    </w:pPr>
    <w:rPr>
      <w:color w:val="E52236" w:themeColor="accent1"/>
    </w:rPr>
  </w:style>
  <w:style w:type="paragraph" w:customStyle="1" w:styleId="TabelleTextSchwarz">
    <w:name w:val="Tabelle Text Schwarz"/>
    <w:basedOn w:val="Standard"/>
    <w:qFormat/>
    <w:rsid w:val="00BA5F00"/>
    <w:pPr>
      <w:spacing w:line="240" w:lineRule="exact"/>
      <w:ind w:firstLine="0"/>
      <w:jc w:val="right"/>
    </w:pPr>
    <w:rPr>
      <w:rFonts w:ascii="Graphik LCG" w:hAnsi="Graphik LCG"/>
      <w:sz w:val="18"/>
    </w:rPr>
  </w:style>
  <w:style w:type="paragraph" w:customStyle="1" w:styleId="HeadlineDeckblatt">
    <w:name w:val="Headline Deckblatt"/>
    <w:basedOn w:val="Headline"/>
    <w:qFormat/>
    <w:rsid w:val="00817455"/>
    <w:pPr>
      <w:spacing w:line="1520" w:lineRule="exact"/>
    </w:pPr>
    <w:rPr>
      <w:sz w:val="140"/>
    </w:rPr>
  </w:style>
  <w:style w:type="character" w:styleId="Hervorhebung">
    <w:name w:val="Emphasis"/>
    <w:basedOn w:val="Absatz-Standardschriftart"/>
    <w:uiPriority w:val="20"/>
    <w:qFormat/>
    <w:rsid w:val="006B6449"/>
    <w:rPr>
      <w:rFonts w:ascii="Graphik LCG Light" w:hAnsi="Graphik LCG Light"/>
      <w:b w:val="0"/>
      <w:i w:val="0"/>
      <w:iCs/>
      <w:color w:val="E52236" w:themeColor="accent1"/>
      <w:sz w:val="21"/>
      <w:u w:val="none"/>
    </w:rPr>
  </w:style>
  <w:style w:type="paragraph" w:customStyle="1" w:styleId="Aufzhlung">
    <w:name w:val="Aufzählung"/>
    <w:basedOn w:val="Standard"/>
    <w:qFormat/>
    <w:rsid w:val="003865DB"/>
    <w:pPr>
      <w:numPr>
        <w:numId w:val="41"/>
      </w:numPr>
      <w:spacing w:after="120"/>
    </w:pPr>
    <w:rPr>
      <w:lang w:val="en-US"/>
    </w:rPr>
  </w:style>
  <w:style w:type="paragraph" w:customStyle="1" w:styleId="Nummerierung">
    <w:name w:val="Nummerierung"/>
    <w:basedOn w:val="Aufzhlung"/>
    <w:qFormat/>
    <w:rsid w:val="003865DB"/>
    <w:pPr>
      <w:numPr>
        <w:numId w:val="38"/>
      </w:numPr>
    </w:pPr>
  </w:style>
  <w:style w:type="paragraph" w:customStyle="1" w:styleId="Bildunterschrift">
    <w:name w:val="Bildunterschrift"/>
    <w:basedOn w:val="TabelleQuellenangabe"/>
    <w:qFormat/>
    <w:rsid w:val="002200A9"/>
    <w:rPr>
      <w:color w:val="E52236" w:themeColor="accent1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A1FF7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321F0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1F0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F0D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F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1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1F0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21F0D"/>
    <w:rPr>
      <w:i/>
      <w:iCs/>
      <w:color w:val="AF1424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F0D"/>
    <w:pPr>
      <w:pBdr>
        <w:top w:val="single" w:sz="4" w:space="10" w:color="AF1424" w:themeColor="accent1" w:themeShade="BF"/>
        <w:bottom w:val="single" w:sz="4" w:space="10" w:color="AF1424" w:themeColor="accent1" w:themeShade="BF"/>
      </w:pBdr>
      <w:spacing w:before="360" w:after="360"/>
      <w:ind w:left="864" w:right="864"/>
      <w:jc w:val="center"/>
    </w:pPr>
    <w:rPr>
      <w:i/>
      <w:iCs/>
      <w:color w:val="AF1424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F0D"/>
    <w:rPr>
      <w:i/>
      <w:iCs/>
      <w:color w:val="AF1424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1F0D"/>
    <w:rPr>
      <w:b/>
      <w:bCs/>
      <w:smallCaps/>
      <w:color w:val="AF1424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1F0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A2E17"/>
    <w:rPr>
      <w:rFonts w:ascii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B12D80"/>
  </w:style>
  <w:style w:type="character" w:styleId="BesuchterLink">
    <w:name w:val="FollowedHyperlink"/>
    <w:basedOn w:val="Absatz-Standardschriftart"/>
    <w:uiPriority w:val="99"/>
    <w:semiHidden/>
    <w:unhideWhenUsed/>
    <w:rsid w:val="003B086F"/>
    <w:rPr>
      <w:color w:val="D5D5D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wien.info/de/newsroom/corporate-news/statistik-november-2024-8096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therese.tropsch@wien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lter.strasser@wien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b.wien.info/de/statistik/daten/statistik-aktuel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WT_Farbpalette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52236"/>
      </a:accent1>
      <a:accent2>
        <a:srgbClr val="424242"/>
      </a:accent2>
      <a:accent3>
        <a:srgbClr val="797979"/>
      </a:accent3>
      <a:accent4>
        <a:srgbClr val="A9A9A9"/>
      </a:accent4>
      <a:accent5>
        <a:srgbClr val="D5D5D5"/>
      </a:accent5>
      <a:accent6>
        <a:srgbClr val="EAEAEA"/>
      </a:accent6>
      <a:hlink>
        <a:srgbClr val="797979"/>
      </a:hlink>
      <a:folHlink>
        <a:srgbClr val="D5D5D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FA4AA0-521F-4BB0-8193-04E7BEA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WienTourismus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WienTourismus</dc:title>
  <dc:subject/>
  <dc:creator>Tropsch, Marie-Therese</dc:creator>
  <cp:keywords/>
  <dc:description/>
  <cp:lastModifiedBy>Langbauer, Lena</cp:lastModifiedBy>
  <cp:revision>40</cp:revision>
  <cp:lastPrinted>2024-11-19T10:48:00Z</cp:lastPrinted>
  <dcterms:created xsi:type="dcterms:W3CDTF">2024-11-18T16:22:00Z</dcterms:created>
  <dcterms:modified xsi:type="dcterms:W3CDTF">2024-12-19T07:53:00Z</dcterms:modified>
</cp:coreProperties>
</file>