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28C94" w14:textId="368C26D1" w:rsidR="001603FB" w:rsidRDefault="00941542" w:rsidP="00B67129">
      <w:pPr>
        <w:spacing w:line="276" w:lineRule="auto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Tourismus in </w:t>
      </w:r>
      <w:r w:rsidR="001603FB" w:rsidRPr="00245F4E">
        <w:rPr>
          <w:rFonts w:asciiTheme="majorHAnsi" w:hAnsiTheme="majorHAnsi" w:cstheme="majorHAnsi"/>
          <w:b/>
          <w:bCs/>
          <w:sz w:val="28"/>
          <w:szCs w:val="28"/>
        </w:rPr>
        <w:t xml:space="preserve">Wien: </w:t>
      </w:r>
      <w:r w:rsidR="002234D4">
        <w:rPr>
          <w:rFonts w:asciiTheme="majorHAnsi" w:hAnsiTheme="majorHAnsi" w:cstheme="majorHAnsi"/>
          <w:b/>
          <w:bCs/>
          <w:sz w:val="28"/>
          <w:szCs w:val="28"/>
        </w:rPr>
        <w:t>8,3</w:t>
      </w:r>
      <w:r w:rsidR="001603FB" w:rsidRPr="00245F4E">
        <w:rPr>
          <w:rFonts w:asciiTheme="majorHAnsi" w:hAnsiTheme="majorHAnsi" w:cstheme="majorHAnsi"/>
          <w:b/>
          <w:bCs/>
          <w:sz w:val="28"/>
          <w:szCs w:val="28"/>
        </w:rPr>
        <w:t xml:space="preserve"> Mio. Nächtigungen im ersten Halbjahr 202</w:t>
      </w:r>
      <w:r w:rsidR="00AE32B4">
        <w:rPr>
          <w:rFonts w:asciiTheme="majorHAnsi" w:hAnsiTheme="majorHAnsi" w:cstheme="majorHAnsi"/>
          <w:b/>
          <w:bCs/>
          <w:sz w:val="28"/>
          <w:szCs w:val="28"/>
        </w:rPr>
        <w:t>4</w:t>
      </w:r>
    </w:p>
    <w:p w14:paraId="32E7D106" w14:textId="77777777" w:rsidR="001603FB" w:rsidRDefault="001603FB" w:rsidP="00B67129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5D857831" w14:textId="0D098442" w:rsidR="00370BCF" w:rsidRDefault="00D42098" w:rsidP="00AE32B4">
      <w:pPr>
        <w:spacing w:line="276" w:lineRule="auto"/>
        <w:rPr>
          <w:rFonts w:asciiTheme="majorHAnsi" w:hAnsiTheme="majorHAnsi" w:cstheme="majorHAnsi"/>
          <w:b/>
          <w:bCs/>
          <w:i/>
          <w:iCs/>
          <w:sz w:val="21"/>
          <w:szCs w:val="21"/>
        </w:rPr>
      </w:pPr>
      <w:r>
        <w:rPr>
          <w:rFonts w:asciiTheme="majorHAnsi" w:hAnsiTheme="majorHAnsi" w:cstheme="majorHAnsi"/>
          <w:b/>
          <w:bCs/>
          <w:i/>
          <w:iCs/>
          <w:sz w:val="21"/>
          <w:szCs w:val="21"/>
        </w:rPr>
        <w:t>01</w:t>
      </w:r>
      <w:r w:rsidR="001603FB" w:rsidRPr="00B67129">
        <w:rPr>
          <w:rFonts w:asciiTheme="majorHAnsi" w:hAnsiTheme="majorHAnsi" w:cstheme="majorHAnsi"/>
          <w:b/>
          <w:bCs/>
          <w:i/>
          <w:iCs/>
          <w:sz w:val="21"/>
          <w:szCs w:val="21"/>
        </w:rPr>
        <w:t>.0</w:t>
      </w:r>
      <w:r>
        <w:rPr>
          <w:rFonts w:asciiTheme="majorHAnsi" w:hAnsiTheme="majorHAnsi" w:cstheme="majorHAnsi"/>
          <w:b/>
          <w:bCs/>
          <w:i/>
          <w:iCs/>
          <w:sz w:val="21"/>
          <w:szCs w:val="21"/>
        </w:rPr>
        <w:t>8</w:t>
      </w:r>
      <w:r w:rsidR="001603FB" w:rsidRPr="00B67129">
        <w:rPr>
          <w:rFonts w:asciiTheme="majorHAnsi" w:hAnsiTheme="majorHAnsi" w:cstheme="majorHAnsi"/>
          <w:b/>
          <w:bCs/>
          <w:i/>
          <w:iCs/>
          <w:sz w:val="21"/>
          <w:szCs w:val="21"/>
        </w:rPr>
        <w:t>.202</w:t>
      </w:r>
      <w:r w:rsidR="00AE32B4">
        <w:rPr>
          <w:rFonts w:asciiTheme="majorHAnsi" w:hAnsiTheme="majorHAnsi" w:cstheme="majorHAnsi"/>
          <w:b/>
          <w:bCs/>
          <w:i/>
          <w:iCs/>
          <w:sz w:val="21"/>
          <w:szCs w:val="21"/>
        </w:rPr>
        <w:t>4</w:t>
      </w:r>
      <w:r w:rsidR="001603FB" w:rsidRPr="00B67129">
        <w:rPr>
          <w:rFonts w:asciiTheme="majorHAnsi" w:hAnsiTheme="majorHAnsi" w:cstheme="majorHAnsi"/>
          <w:b/>
          <w:bCs/>
          <w:i/>
          <w:iCs/>
          <w:sz w:val="21"/>
          <w:szCs w:val="21"/>
        </w:rPr>
        <w:t xml:space="preserve"> –</w:t>
      </w:r>
      <w:r w:rsidR="00AE32B4">
        <w:rPr>
          <w:rFonts w:asciiTheme="majorHAnsi" w:hAnsiTheme="majorHAnsi" w:cstheme="majorHAnsi"/>
          <w:b/>
          <w:bCs/>
          <w:i/>
          <w:iCs/>
          <w:sz w:val="21"/>
          <w:szCs w:val="21"/>
        </w:rPr>
        <w:t xml:space="preserve"> </w:t>
      </w:r>
      <w:r w:rsidR="00AE32B4" w:rsidRPr="00B67129">
        <w:rPr>
          <w:rFonts w:asciiTheme="majorHAnsi" w:hAnsiTheme="majorHAnsi" w:cstheme="majorHAnsi"/>
          <w:b/>
          <w:bCs/>
          <w:i/>
          <w:iCs/>
          <w:sz w:val="21"/>
          <w:szCs w:val="21"/>
        </w:rPr>
        <w:t xml:space="preserve">Mit </w:t>
      </w:r>
      <w:r w:rsidR="002234D4">
        <w:rPr>
          <w:rFonts w:asciiTheme="majorHAnsi" w:hAnsiTheme="majorHAnsi" w:cstheme="majorHAnsi"/>
          <w:b/>
          <w:bCs/>
          <w:i/>
          <w:iCs/>
          <w:sz w:val="21"/>
          <w:szCs w:val="21"/>
        </w:rPr>
        <w:t>8,3</w:t>
      </w:r>
      <w:r w:rsidR="00AE32B4" w:rsidRPr="00B67129">
        <w:rPr>
          <w:rFonts w:asciiTheme="majorHAnsi" w:hAnsiTheme="majorHAnsi" w:cstheme="majorHAnsi"/>
          <w:b/>
          <w:bCs/>
          <w:i/>
          <w:iCs/>
          <w:sz w:val="21"/>
          <w:szCs w:val="21"/>
        </w:rPr>
        <w:t xml:space="preserve"> Millionen Gästenächtigungen</w:t>
      </w:r>
      <w:r w:rsidR="00AE32B4">
        <w:rPr>
          <w:rFonts w:asciiTheme="majorHAnsi" w:hAnsiTheme="majorHAnsi" w:cstheme="majorHAnsi"/>
          <w:b/>
          <w:bCs/>
          <w:i/>
          <w:iCs/>
          <w:sz w:val="21"/>
          <w:szCs w:val="21"/>
        </w:rPr>
        <w:t xml:space="preserve"> erreichte</w:t>
      </w:r>
      <w:r w:rsidR="00AE32B4" w:rsidRPr="00B67129">
        <w:rPr>
          <w:rFonts w:asciiTheme="majorHAnsi" w:hAnsiTheme="majorHAnsi" w:cstheme="majorHAnsi"/>
          <w:b/>
          <w:bCs/>
          <w:i/>
          <w:iCs/>
          <w:sz w:val="21"/>
          <w:szCs w:val="21"/>
        </w:rPr>
        <w:t xml:space="preserve"> </w:t>
      </w:r>
      <w:r w:rsidR="00AE32B4" w:rsidRPr="00273525">
        <w:rPr>
          <w:rFonts w:asciiTheme="majorHAnsi" w:hAnsiTheme="majorHAnsi" w:cstheme="majorHAnsi"/>
          <w:b/>
          <w:bCs/>
          <w:i/>
          <w:iCs/>
          <w:sz w:val="21"/>
          <w:szCs w:val="21"/>
        </w:rPr>
        <w:t>das erste Halbjahr 202</w:t>
      </w:r>
      <w:r w:rsidR="00AE32B4">
        <w:rPr>
          <w:rFonts w:asciiTheme="majorHAnsi" w:hAnsiTheme="majorHAnsi" w:cstheme="majorHAnsi"/>
          <w:b/>
          <w:bCs/>
          <w:i/>
          <w:iCs/>
          <w:sz w:val="21"/>
          <w:szCs w:val="21"/>
        </w:rPr>
        <w:t>4</w:t>
      </w:r>
      <w:r w:rsidR="00AE32B4" w:rsidRPr="00273525">
        <w:rPr>
          <w:rFonts w:asciiTheme="majorHAnsi" w:hAnsiTheme="majorHAnsi" w:cstheme="majorHAnsi"/>
          <w:b/>
          <w:bCs/>
          <w:i/>
          <w:iCs/>
          <w:sz w:val="21"/>
          <w:szCs w:val="21"/>
        </w:rPr>
        <w:t xml:space="preserve"> </w:t>
      </w:r>
      <w:r w:rsidR="00AE32B4">
        <w:rPr>
          <w:rFonts w:asciiTheme="majorHAnsi" w:hAnsiTheme="majorHAnsi" w:cstheme="majorHAnsi"/>
          <w:b/>
          <w:bCs/>
          <w:i/>
          <w:iCs/>
          <w:sz w:val="21"/>
          <w:szCs w:val="21"/>
        </w:rPr>
        <w:t xml:space="preserve">ein Plus von </w:t>
      </w:r>
      <w:r w:rsidR="002234D4">
        <w:rPr>
          <w:rFonts w:asciiTheme="majorHAnsi" w:hAnsiTheme="majorHAnsi" w:cstheme="majorHAnsi"/>
          <w:b/>
          <w:bCs/>
          <w:i/>
          <w:iCs/>
          <w:sz w:val="21"/>
          <w:szCs w:val="21"/>
        </w:rPr>
        <w:t>10</w:t>
      </w:r>
      <w:r w:rsidR="00AE32B4">
        <w:rPr>
          <w:rFonts w:asciiTheme="majorHAnsi" w:hAnsiTheme="majorHAnsi" w:cstheme="majorHAnsi"/>
          <w:b/>
          <w:bCs/>
          <w:i/>
          <w:iCs/>
          <w:sz w:val="21"/>
          <w:szCs w:val="21"/>
        </w:rPr>
        <w:t>% im Vergleich zum Vorjahr</w:t>
      </w:r>
      <w:r w:rsidR="00AE32B4" w:rsidRPr="00273525">
        <w:rPr>
          <w:rFonts w:asciiTheme="majorHAnsi" w:hAnsiTheme="majorHAnsi" w:cstheme="majorHAnsi"/>
          <w:b/>
          <w:bCs/>
          <w:i/>
          <w:iCs/>
          <w:sz w:val="21"/>
          <w:szCs w:val="21"/>
        </w:rPr>
        <w:t xml:space="preserve">. Der Juni verzeichnete </w:t>
      </w:r>
      <w:r w:rsidR="002234D4">
        <w:rPr>
          <w:rFonts w:asciiTheme="majorHAnsi" w:hAnsiTheme="majorHAnsi" w:cstheme="majorHAnsi"/>
          <w:b/>
          <w:bCs/>
          <w:i/>
          <w:iCs/>
          <w:sz w:val="21"/>
          <w:szCs w:val="21"/>
        </w:rPr>
        <w:t>1,6</w:t>
      </w:r>
      <w:r w:rsidR="00AE32B4" w:rsidRPr="00273525">
        <w:rPr>
          <w:rFonts w:asciiTheme="majorHAnsi" w:hAnsiTheme="majorHAnsi" w:cstheme="majorHAnsi"/>
          <w:b/>
          <w:bCs/>
          <w:i/>
          <w:iCs/>
          <w:sz w:val="21"/>
          <w:szCs w:val="21"/>
        </w:rPr>
        <w:t xml:space="preserve"> Millionen Nächtigungen (+</w:t>
      </w:r>
      <w:r w:rsidR="002234D4">
        <w:rPr>
          <w:rFonts w:asciiTheme="majorHAnsi" w:hAnsiTheme="majorHAnsi" w:cstheme="majorHAnsi"/>
          <w:b/>
          <w:bCs/>
          <w:i/>
          <w:iCs/>
          <w:sz w:val="21"/>
          <w:szCs w:val="21"/>
        </w:rPr>
        <w:t>6</w:t>
      </w:r>
      <w:r w:rsidR="00AE32B4" w:rsidRPr="00273525">
        <w:rPr>
          <w:rFonts w:asciiTheme="majorHAnsi" w:hAnsiTheme="majorHAnsi" w:cstheme="majorHAnsi"/>
          <w:b/>
          <w:bCs/>
          <w:i/>
          <w:iCs/>
          <w:sz w:val="21"/>
          <w:szCs w:val="21"/>
        </w:rPr>
        <w:t>%). Der Nächtigungsumsatz der Wiener Beherbergungsbetriebe</w:t>
      </w:r>
      <w:r w:rsidR="00AE32B4">
        <w:rPr>
          <w:rFonts w:asciiTheme="majorHAnsi" w:hAnsiTheme="majorHAnsi" w:cstheme="majorHAnsi"/>
          <w:b/>
          <w:bCs/>
          <w:i/>
          <w:iCs/>
          <w:sz w:val="21"/>
          <w:szCs w:val="21"/>
        </w:rPr>
        <w:t xml:space="preserve"> liegt erst für den Zeitraum Jänner bis Mai vor. </w:t>
      </w:r>
      <w:r w:rsidR="00370BCF">
        <w:rPr>
          <w:rFonts w:asciiTheme="majorHAnsi" w:hAnsiTheme="majorHAnsi" w:cstheme="majorHAnsi"/>
          <w:b/>
          <w:bCs/>
          <w:i/>
          <w:iCs/>
          <w:sz w:val="21"/>
          <w:szCs w:val="21"/>
        </w:rPr>
        <w:t xml:space="preserve">Mit </w:t>
      </w:r>
      <w:r w:rsidR="002234D4">
        <w:rPr>
          <w:rFonts w:asciiTheme="majorHAnsi" w:hAnsiTheme="majorHAnsi" w:cstheme="majorHAnsi"/>
          <w:b/>
          <w:bCs/>
          <w:i/>
          <w:iCs/>
          <w:sz w:val="21"/>
          <w:szCs w:val="21"/>
        </w:rPr>
        <w:t>445,7</w:t>
      </w:r>
      <w:r w:rsidR="00370BCF" w:rsidRPr="00273525">
        <w:rPr>
          <w:rFonts w:asciiTheme="majorHAnsi" w:hAnsiTheme="majorHAnsi" w:cstheme="majorHAnsi"/>
          <w:b/>
          <w:bCs/>
          <w:i/>
          <w:iCs/>
          <w:sz w:val="21"/>
          <w:szCs w:val="21"/>
        </w:rPr>
        <w:t xml:space="preserve"> Millionen Euro </w:t>
      </w:r>
      <w:r w:rsidR="00370BCF">
        <w:rPr>
          <w:rFonts w:asciiTheme="majorHAnsi" w:hAnsiTheme="majorHAnsi" w:cstheme="majorHAnsi"/>
          <w:b/>
          <w:bCs/>
          <w:i/>
          <w:iCs/>
          <w:sz w:val="21"/>
          <w:szCs w:val="21"/>
        </w:rPr>
        <w:t xml:space="preserve">liegt er um </w:t>
      </w:r>
      <w:r w:rsidR="002234D4">
        <w:rPr>
          <w:rFonts w:asciiTheme="majorHAnsi" w:hAnsiTheme="majorHAnsi" w:cstheme="majorHAnsi"/>
          <w:b/>
          <w:bCs/>
          <w:i/>
          <w:iCs/>
          <w:sz w:val="21"/>
          <w:szCs w:val="21"/>
        </w:rPr>
        <w:t>14</w:t>
      </w:r>
      <w:r w:rsidR="00370BCF" w:rsidRPr="00273525">
        <w:rPr>
          <w:rFonts w:asciiTheme="majorHAnsi" w:hAnsiTheme="majorHAnsi" w:cstheme="majorHAnsi"/>
          <w:b/>
          <w:bCs/>
          <w:i/>
          <w:iCs/>
          <w:sz w:val="21"/>
          <w:szCs w:val="21"/>
        </w:rPr>
        <w:t>%</w:t>
      </w:r>
      <w:r w:rsidR="00370BCF">
        <w:rPr>
          <w:rFonts w:asciiTheme="majorHAnsi" w:hAnsiTheme="majorHAnsi" w:cstheme="majorHAnsi"/>
          <w:b/>
          <w:bCs/>
          <w:i/>
          <w:iCs/>
          <w:sz w:val="21"/>
          <w:szCs w:val="21"/>
        </w:rPr>
        <w:t xml:space="preserve"> über dem Vergleichszeitraum 2023.</w:t>
      </w:r>
    </w:p>
    <w:p w14:paraId="25D78069" w14:textId="77777777" w:rsidR="00AE32B4" w:rsidRPr="00B67129" w:rsidRDefault="00AE32B4" w:rsidP="00AE32B4">
      <w:pPr>
        <w:spacing w:line="276" w:lineRule="auto"/>
        <w:rPr>
          <w:rFonts w:asciiTheme="majorHAnsi" w:hAnsiTheme="majorHAnsi" w:cstheme="majorHAnsi"/>
          <w:sz w:val="21"/>
          <w:szCs w:val="21"/>
        </w:rPr>
      </w:pPr>
    </w:p>
    <w:p w14:paraId="29591358" w14:textId="11F04AEA" w:rsidR="001603FB" w:rsidRPr="006F77B8" w:rsidRDefault="00F50F7D" w:rsidP="00B67129">
      <w:pPr>
        <w:spacing w:line="276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Im</w:t>
      </w:r>
      <w:r w:rsidR="001603FB" w:rsidRPr="00D37346">
        <w:rPr>
          <w:rFonts w:asciiTheme="majorHAnsi" w:hAnsiTheme="majorHAnsi" w:cstheme="majorHAnsi"/>
          <w:sz w:val="21"/>
          <w:szCs w:val="21"/>
        </w:rPr>
        <w:t xml:space="preserve"> ersten Halbjahr</w:t>
      </w:r>
      <w:r>
        <w:rPr>
          <w:rFonts w:asciiTheme="majorHAnsi" w:hAnsiTheme="majorHAnsi" w:cstheme="majorHAnsi"/>
          <w:sz w:val="21"/>
          <w:szCs w:val="21"/>
        </w:rPr>
        <w:t xml:space="preserve"> 2024 zählte Wien </w:t>
      </w:r>
      <w:r w:rsidR="002234D4" w:rsidRPr="002234D4">
        <w:rPr>
          <w:rFonts w:asciiTheme="majorHAnsi" w:hAnsiTheme="majorHAnsi" w:cstheme="majorHAnsi"/>
          <w:sz w:val="21"/>
          <w:szCs w:val="21"/>
          <w:lang w:val="de-DE"/>
        </w:rPr>
        <w:t>8.260.000</w:t>
      </w:r>
      <w:r w:rsidR="002234D4">
        <w:rPr>
          <w:rFonts w:asciiTheme="majorHAnsi" w:hAnsiTheme="majorHAnsi" w:cstheme="majorHAnsi"/>
          <w:sz w:val="21"/>
          <w:szCs w:val="21"/>
          <w:lang w:val="de-DE"/>
        </w:rPr>
        <w:t xml:space="preserve"> </w:t>
      </w:r>
      <w:r w:rsidR="001603FB" w:rsidRPr="00D37346">
        <w:rPr>
          <w:rFonts w:asciiTheme="majorHAnsi" w:hAnsiTheme="majorHAnsi" w:cstheme="majorHAnsi"/>
          <w:sz w:val="21"/>
          <w:szCs w:val="21"/>
        </w:rPr>
        <w:t>Millionen Nächtigungen</w:t>
      </w:r>
      <w:r w:rsidR="00941542" w:rsidRPr="00D37346">
        <w:rPr>
          <w:rFonts w:asciiTheme="majorHAnsi" w:hAnsiTheme="majorHAnsi" w:cstheme="majorHAnsi"/>
          <w:sz w:val="21"/>
          <w:szCs w:val="21"/>
        </w:rPr>
        <w:t xml:space="preserve"> – </w:t>
      </w:r>
      <w:r w:rsidR="00637106" w:rsidRPr="00D37346">
        <w:rPr>
          <w:rFonts w:asciiTheme="majorHAnsi" w:hAnsiTheme="majorHAnsi" w:cstheme="majorHAnsi"/>
          <w:sz w:val="21"/>
          <w:szCs w:val="21"/>
        </w:rPr>
        <w:t xml:space="preserve">das sind </w:t>
      </w:r>
      <w:r w:rsidR="00941542" w:rsidRPr="00D37346">
        <w:rPr>
          <w:rFonts w:asciiTheme="majorHAnsi" w:hAnsiTheme="majorHAnsi" w:cstheme="majorHAnsi"/>
          <w:sz w:val="21"/>
          <w:szCs w:val="21"/>
        </w:rPr>
        <w:t xml:space="preserve">um </w:t>
      </w:r>
      <w:r w:rsidR="002234D4">
        <w:rPr>
          <w:rFonts w:asciiTheme="majorHAnsi" w:hAnsiTheme="majorHAnsi" w:cstheme="majorHAnsi"/>
          <w:sz w:val="21"/>
          <w:szCs w:val="21"/>
        </w:rPr>
        <w:t>10</w:t>
      </w:r>
      <w:r w:rsidR="00941542" w:rsidRPr="00D37346">
        <w:rPr>
          <w:rFonts w:asciiTheme="majorHAnsi" w:hAnsiTheme="majorHAnsi" w:cstheme="majorHAnsi"/>
          <w:sz w:val="21"/>
          <w:szCs w:val="21"/>
        </w:rPr>
        <w:t xml:space="preserve">% mehr als im Vergleichszeitraum </w:t>
      </w:r>
      <w:r w:rsidR="00E703E1">
        <w:rPr>
          <w:rFonts w:asciiTheme="majorHAnsi" w:hAnsiTheme="majorHAnsi" w:cstheme="majorHAnsi"/>
          <w:sz w:val="21"/>
          <w:szCs w:val="21"/>
        </w:rPr>
        <w:t>des Vorjahres</w:t>
      </w:r>
      <w:r w:rsidR="00637106" w:rsidRPr="00D37346">
        <w:rPr>
          <w:rFonts w:asciiTheme="majorHAnsi" w:hAnsiTheme="majorHAnsi" w:cstheme="majorHAnsi"/>
          <w:sz w:val="21"/>
          <w:szCs w:val="21"/>
        </w:rPr>
        <w:t xml:space="preserve"> erbracht wurden</w:t>
      </w:r>
      <w:r w:rsidR="001603FB" w:rsidRPr="00D37346">
        <w:rPr>
          <w:rFonts w:asciiTheme="majorHAnsi" w:hAnsiTheme="majorHAnsi" w:cstheme="majorHAnsi"/>
          <w:sz w:val="21"/>
          <w:szCs w:val="21"/>
        </w:rPr>
        <w:t xml:space="preserve">. </w:t>
      </w:r>
      <w:r w:rsidR="0067216C">
        <w:rPr>
          <w:rFonts w:asciiTheme="majorHAnsi" w:hAnsiTheme="majorHAnsi" w:cstheme="majorHAnsi"/>
          <w:sz w:val="21"/>
          <w:szCs w:val="21"/>
        </w:rPr>
        <w:t>D</w:t>
      </w:r>
      <w:r w:rsidR="0067216C" w:rsidRPr="00D37346">
        <w:rPr>
          <w:rFonts w:asciiTheme="majorHAnsi" w:hAnsiTheme="majorHAnsi" w:cstheme="majorHAnsi"/>
          <w:sz w:val="21"/>
          <w:szCs w:val="21"/>
        </w:rPr>
        <w:t xml:space="preserve">ie Liste der nächtigungsstärksten </w:t>
      </w:r>
      <w:r>
        <w:rPr>
          <w:rFonts w:asciiTheme="majorHAnsi" w:hAnsiTheme="majorHAnsi" w:cstheme="majorHAnsi"/>
          <w:sz w:val="21"/>
          <w:szCs w:val="21"/>
        </w:rPr>
        <w:t>M</w:t>
      </w:r>
      <w:r w:rsidR="0067216C" w:rsidRPr="00D37346">
        <w:rPr>
          <w:rFonts w:asciiTheme="majorHAnsi" w:hAnsiTheme="majorHAnsi" w:cstheme="majorHAnsi"/>
          <w:sz w:val="21"/>
          <w:szCs w:val="21"/>
        </w:rPr>
        <w:t xml:space="preserve">ärkte Wiens </w:t>
      </w:r>
      <w:r w:rsidR="0067216C" w:rsidRPr="005026CC">
        <w:rPr>
          <w:rFonts w:asciiTheme="majorHAnsi" w:hAnsiTheme="majorHAnsi" w:cstheme="majorHAnsi"/>
          <w:sz w:val="21"/>
          <w:szCs w:val="21"/>
        </w:rPr>
        <w:t>in den</w:t>
      </w:r>
      <w:r w:rsidR="001603FB" w:rsidRPr="00D37346">
        <w:rPr>
          <w:rFonts w:asciiTheme="majorHAnsi" w:hAnsiTheme="majorHAnsi" w:cstheme="majorHAnsi"/>
          <w:sz w:val="21"/>
          <w:szCs w:val="21"/>
        </w:rPr>
        <w:t xml:space="preserve"> ersten sechs Jahresmonate</w:t>
      </w:r>
      <w:r w:rsidR="0067216C">
        <w:rPr>
          <w:rFonts w:asciiTheme="majorHAnsi" w:hAnsiTheme="majorHAnsi" w:cstheme="majorHAnsi"/>
          <w:sz w:val="21"/>
          <w:szCs w:val="21"/>
        </w:rPr>
        <w:t>n</w:t>
      </w:r>
      <w:r w:rsidR="001603FB" w:rsidRPr="00D37346">
        <w:rPr>
          <w:rFonts w:asciiTheme="majorHAnsi" w:hAnsiTheme="majorHAnsi" w:cstheme="majorHAnsi"/>
          <w:sz w:val="21"/>
          <w:szCs w:val="21"/>
        </w:rPr>
        <w:t xml:space="preserve"> </w:t>
      </w:r>
      <w:r w:rsidR="0067216C">
        <w:rPr>
          <w:rFonts w:asciiTheme="majorHAnsi" w:hAnsiTheme="majorHAnsi" w:cstheme="majorHAnsi"/>
          <w:sz w:val="21"/>
          <w:szCs w:val="21"/>
        </w:rPr>
        <w:t>führt</w:t>
      </w:r>
      <w:r w:rsidR="001603FB" w:rsidRPr="00D37346">
        <w:rPr>
          <w:rFonts w:asciiTheme="majorHAnsi" w:hAnsiTheme="majorHAnsi" w:cstheme="majorHAnsi"/>
          <w:sz w:val="21"/>
          <w:szCs w:val="21"/>
        </w:rPr>
        <w:t xml:space="preserve"> </w:t>
      </w:r>
      <w:r w:rsidR="002234D4">
        <w:rPr>
          <w:rFonts w:asciiTheme="majorHAnsi" w:hAnsiTheme="majorHAnsi" w:cstheme="majorHAnsi"/>
          <w:sz w:val="21"/>
          <w:szCs w:val="21"/>
        </w:rPr>
        <w:t>Österreich (</w:t>
      </w:r>
      <w:r w:rsidR="002234D4" w:rsidRPr="002234D4">
        <w:rPr>
          <w:rFonts w:asciiTheme="majorHAnsi" w:hAnsiTheme="majorHAnsi" w:cstheme="majorHAnsi"/>
          <w:sz w:val="21"/>
          <w:szCs w:val="21"/>
        </w:rPr>
        <w:t>1.653.000</w:t>
      </w:r>
      <w:r w:rsidR="002234D4">
        <w:rPr>
          <w:rFonts w:asciiTheme="majorHAnsi" w:hAnsiTheme="majorHAnsi" w:cstheme="majorHAnsi"/>
          <w:sz w:val="21"/>
          <w:szCs w:val="21"/>
        </w:rPr>
        <w:t>, +11% zu 1-6 2023) knapp an</w:t>
      </w:r>
      <w:r w:rsidR="00637106" w:rsidRPr="00D37346">
        <w:rPr>
          <w:rFonts w:asciiTheme="majorHAnsi" w:hAnsiTheme="majorHAnsi" w:cstheme="majorHAnsi"/>
          <w:sz w:val="21"/>
          <w:szCs w:val="21"/>
        </w:rPr>
        <w:t xml:space="preserve">, gefolgt von </w:t>
      </w:r>
      <w:r w:rsidR="00511D3F">
        <w:rPr>
          <w:rFonts w:asciiTheme="majorHAnsi" w:hAnsiTheme="majorHAnsi" w:cstheme="majorHAnsi"/>
          <w:sz w:val="21"/>
          <w:szCs w:val="21"/>
        </w:rPr>
        <w:t>Deutschland</w:t>
      </w:r>
      <w:r w:rsidR="001603FB" w:rsidRPr="00D37346">
        <w:rPr>
          <w:rFonts w:asciiTheme="majorHAnsi" w:hAnsiTheme="majorHAnsi" w:cstheme="majorHAnsi"/>
          <w:sz w:val="21"/>
          <w:szCs w:val="21"/>
        </w:rPr>
        <w:t xml:space="preserve"> (</w:t>
      </w:r>
      <w:r w:rsidR="00511D3F" w:rsidRPr="00511D3F">
        <w:rPr>
          <w:rFonts w:asciiTheme="majorHAnsi" w:hAnsiTheme="majorHAnsi" w:cstheme="majorHAnsi"/>
          <w:sz w:val="21"/>
          <w:szCs w:val="21"/>
        </w:rPr>
        <w:t>1.608.000</w:t>
      </w:r>
      <w:r w:rsidR="001D4839" w:rsidRPr="00D37346">
        <w:rPr>
          <w:rFonts w:asciiTheme="majorHAnsi" w:hAnsiTheme="majorHAnsi" w:cstheme="majorHAnsi"/>
          <w:sz w:val="21"/>
          <w:szCs w:val="21"/>
        </w:rPr>
        <w:t>, +</w:t>
      </w:r>
      <w:r w:rsidR="00511D3F">
        <w:rPr>
          <w:rFonts w:asciiTheme="majorHAnsi" w:hAnsiTheme="majorHAnsi" w:cstheme="majorHAnsi"/>
          <w:sz w:val="21"/>
          <w:szCs w:val="21"/>
        </w:rPr>
        <w:t>8</w:t>
      </w:r>
      <w:r w:rsidR="001D4839" w:rsidRPr="00D37346">
        <w:rPr>
          <w:rFonts w:asciiTheme="majorHAnsi" w:hAnsiTheme="majorHAnsi" w:cstheme="majorHAnsi"/>
          <w:sz w:val="21"/>
          <w:szCs w:val="21"/>
        </w:rPr>
        <w:t>%</w:t>
      </w:r>
      <w:r w:rsidR="001603FB" w:rsidRPr="00D37346">
        <w:rPr>
          <w:rFonts w:asciiTheme="majorHAnsi" w:hAnsiTheme="majorHAnsi" w:cstheme="majorHAnsi"/>
          <w:sz w:val="21"/>
          <w:szCs w:val="21"/>
        </w:rPr>
        <w:t>)</w:t>
      </w:r>
      <w:r w:rsidR="00511D3F">
        <w:rPr>
          <w:rFonts w:asciiTheme="majorHAnsi" w:hAnsiTheme="majorHAnsi" w:cstheme="majorHAnsi"/>
          <w:sz w:val="21"/>
          <w:szCs w:val="21"/>
        </w:rPr>
        <w:t xml:space="preserve">. </w:t>
      </w:r>
      <w:r w:rsidR="00511D3F" w:rsidRPr="00511D3F">
        <w:rPr>
          <w:rFonts w:asciiTheme="majorHAnsi" w:hAnsiTheme="majorHAnsi" w:cstheme="majorHAnsi"/>
          <w:sz w:val="21"/>
          <w:szCs w:val="21"/>
        </w:rPr>
        <w:t>Die USA haben sich als stärkster Fernmarkt mit 473.000</w:t>
      </w:r>
      <w:r w:rsidR="00511D3F">
        <w:rPr>
          <w:rFonts w:asciiTheme="majorHAnsi" w:hAnsiTheme="majorHAnsi" w:cstheme="majorHAnsi"/>
          <w:sz w:val="21"/>
          <w:szCs w:val="21"/>
        </w:rPr>
        <w:t xml:space="preserve"> </w:t>
      </w:r>
      <w:r w:rsidR="00511D3F" w:rsidRPr="00511D3F">
        <w:rPr>
          <w:rFonts w:asciiTheme="majorHAnsi" w:hAnsiTheme="majorHAnsi" w:cstheme="majorHAnsi"/>
          <w:sz w:val="21"/>
          <w:szCs w:val="21"/>
        </w:rPr>
        <w:t>Nächtigungen (+</w:t>
      </w:r>
      <w:r w:rsidR="00511D3F">
        <w:rPr>
          <w:rFonts w:asciiTheme="majorHAnsi" w:hAnsiTheme="majorHAnsi" w:cstheme="majorHAnsi"/>
          <w:sz w:val="21"/>
          <w:szCs w:val="21"/>
        </w:rPr>
        <w:t>11</w:t>
      </w:r>
      <w:r w:rsidR="00511D3F" w:rsidRPr="00511D3F">
        <w:rPr>
          <w:rFonts w:asciiTheme="majorHAnsi" w:hAnsiTheme="majorHAnsi" w:cstheme="majorHAnsi"/>
          <w:sz w:val="21"/>
          <w:szCs w:val="21"/>
        </w:rPr>
        <w:t>%) wieder auf Platz drei der Top-10-Herkunftsmärkte Wiens etabliert.</w:t>
      </w:r>
      <w:r w:rsidR="00511D3F">
        <w:rPr>
          <w:rFonts w:asciiTheme="majorHAnsi" w:hAnsiTheme="majorHAnsi" w:cstheme="majorHAnsi"/>
          <w:sz w:val="21"/>
          <w:szCs w:val="21"/>
        </w:rPr>
        <w:t xml:space="preserve"> </w:t>
      </w:r>
      <w:r w:rsidR="004D0B66" w:rsidRPr="00D37346">
        <w:rPr>
          <w:rFonts w:asciiTheme="majorHAnsi" w:hAnsiTheme="majorHAnsi" w:cstheme="majorHAnsi"/>
          <w:sz w:val="21"/>
          <w:szCs w:val="21"/>
        </w:rPr>
        <w:t>Italien (</w:t>
      </w:r>
      <w:r w:rsidR="00511D3F" w:rsidRPr="00511D3F">
        <w:rPr>
          <w:rFonts w:asciiTheme="majorHAnsi" w:hAnsiTheme="majorHAnsi" w:cstheme="majorHAnsi"/>
          <w:sz w:val="21"/>
          <w:szCs w:val="21"/>
        </w:rPr>
        <w:t>436.000</w:t>
      </w:r>
      <w:r w:rsidR="001D4839" w:rsidRPr="00D37346">
        <w:rPr>
          <w:rFonts w:asciiTheme="majorHAnsi" w:hAnsiTheme="majorHAnsi" w:cstheme="majorHAnsi"/>
          <w:sz w:val="21"/>
          <w:szCs w:val="21"/>
        </w:rPr>
        <w:t>, +</w:t>
      </w:r>
      <w:r w:rsidR="00511D3F">
        <w:rPr>
          <w:rFonts w:asciiTheme="majorHAnsi" w:hAnsiTheme="majorHAnsi" w:cstheme="majorHAnsi"/>
          <w:sz w:val="21"/>
          <w:szCs w:val="21"/>
        </w:rPr>
        <w:t>17</w:t>
      </w:r>
      <w:r w:rsidR="001D4839" w:rsidRPr="00D37346">
        <w:rPr>
          <w:rFonts w:asciiTheme="majorHAnsi" w:hAnsiTheme="majorHAnsi" w:cstheme="majorHAnsi"/>
          <w:sz w:val="21"/>
          <w:szCs w:val="21"/>
        </w:rPr>
        <w:t>%</w:t>
      </w:r>
      <w:r w:rsidR="004D0B66" w:rsidRPr="00D37346">
        <w:rPr>
          <w:rFonts w:asciiTheme="majorHAnsi" w:hAnsiTheme="majorHAnsi" w:cstheme="majorHAnsi"/>
          <w:sz w:val="21"/>
          <w:szCs w:val="21"/>
        </w:rPr>
        <w:t xml:space="preserve">), </w:t>
      </w:r>
      <w:r w:rsidR="00A539A1" w:rsidRPr="00D37346">
        <w:rPr>
          <w:rFonts w:asciiTheme="majorHAnsi" w:hAnsiTheme="majorHAnsi" w:cstheme="majorHAnsi"/>
          <w:sz w:val="21"/>
          <w:szCs w:val="21"/>
        </w:rPr>
        <w:t>Großbritannien</w:t>
      </w:r>
      <w:r w:rsidR="001603FB" w:rsidRPr="00D37346">
        <w:rPr>
          <w:rFonts w:asciiTheme="majorHAnsi" w:hAnsiTheme="majorHAnsi" w:cstheme="majorHAnsi"/>
          <w:sz w:val="21"/>
          <w:szCs w:val="21"/>
        </w:rPr>
        <w:t xml:space="preserve"> (</w:t>
      </w:r>
      <w:r w:rsidR="00511D3F" w:rsidRPr="00511D3F">
        <w:rPr>
          <w:rFonts w:asciiTheme="majorHAnsi" w:hAnsiTheme="majorHAnsi" w:cstheme="majorHAnsi"/>
          <w:sz w:val="21"/>
          <w:szCs w:val="21"/>
        </w:rPr>
        <w:t>337.000</w:t>
      </w:r>
      <w:r w:rsidR="001D4839" w:rsidRPr="00D37346">
        <w:rPr>
          <w:rFonts w:asciiTheme="majorHAnsi" w:hAnsiTheme="majorHAnsi" w:cstheme="majorHAnsi"/>
          <w:sz w:val="21"/>
          <w:szCs w:val="21"/>
        </w:rPr>
        <w:t>, +</w:t>
      </w:r>
      <w:r w:rsidR="00511D3F">
        <w:rPr>
          <w:rFonts w:asciiTheme="majorHAnsi" w:hAnsiTheme="majorHAnsi" w:cstheme="majorHAnsi"/>
          <w:sz w:val="21"/>
          <w:szCs w:val="21"/>
        </w:rPr>
        <w:t>19</w:t>
      </w:r>
      <w:r w:rsidR="001D4839" w:rsidRPr="00D37346">
        <w:rPr>
          <w:rFonts w:asciiTheme="majorHAnsi" w:hAnsiTheme="majorHAnsi" w:cstheme="majorHAnsi"/>
          <w:sz w:val="21"/>
          <w:szCs w:val="21"/>
        </w:rPr>
        <w:t>%</w:t>
      </w:r>
      <w:r w:rsidR="001603FB" w:rsidRPr="00D37346">
        <w:rPr>
          <w:rFonts w:asciiTheme="majorHAnsi" w:hAnsiTheme="majorHAnsi" w:cstheme="majorHAnsi"/>
          <w:sz w:val="21"/>
          <w:szCs w:val="21"/>
        </w:rPr>
        <w:t xml:space="preserve">), </w:t>
      </w:r>
      <w:r w:rsidR="004D0B66" w:rsidRPr="00D37346">
        <w:rPr>
          <w:rFonts w:asciiTheme="majorHAnsi" w:hAnsiTheme="majorHAnsi" w:cstheme="majorHAnsi"/>
          <w:sz w:val="21"/>
          <w:szCs w:val="21"/>
        </w:rPr>
        <w:t>Frankreich (</w:t>
      </w:r>
      <w:r w:rsidR="00511D3F" w:rsidRPr="00511D3F">
        <w:rPr>
          <w:rFonts w:asciiTheme="majorHAnsi" w:hAnsiTheme="majorHAnsi" w:cstheme="majorHAnsi"/>
          <w:sz w:val="21"/>
          <w:szCs w:val="21"/>
        </w:rPr>
        <w:t>240.000</w:t>
      </w:r>
      <w:r w:rsidR="001D4839" w:rsidRPr="00D37346">
        <w:rPr>
          <w:rFonts w:asciiTheme="majorHAnsi" w:hAnsiTheme="majorHAnsi" w:cstheme="majorHAnsi"/>
          <w:sz w:val="21"/>
          <w:szCs w:val="21"/>
        </w:rPr>
        <w:t>, +</w:t>
      </w:r>
      <w:r w:rsidR="00511D3F">
        <w:rPr>
          <w:rFonts w:asciiTheme="majorHAnsi" w:hAnsiTheme="majorHAnsi" w:cstheme="majorHAnsi"/>
          <w:sz w:val="21"/>
          <w:szCs w:val="21"/>
        </w:rPr>
        <w:t>14</w:t>
      </w:r>
      <w:r w:rsidR="001D4839" w:rsidRPr="00D37346">
        <w:rPr>
          <w:rFonts w:asciiTheme="majorHAnsi" w:hAnsiTheme="majorHAnsi" w:cstheme="majorHAnsi"/>
          <w:sz w:val="21"/>
          <w:szCs w:val="21"/>
        </w:rPr>
        <w:t>%</w:t>
      </w:r>
      <w:r w:rsidR="004D0B66" w:rsidRPr="00D37346">
        <w:rPr>
          <w:rFonts w:asciiTheme="majorHAnsi" w:hAnsiTheme="majorHAnsi" w:cstheme="majorHAnsi"/>
          <w:sz w:val="21"/>
          <w:szCs w:val="21"/>
        </w:rPr>
        <w:t>), Spanien (</w:t>
      </w:r>
      <w:r w:rsidR="00511D3F" w:rsidRPr="00511D3F">
        <w:rPr>
          <w:rFonts w:asciiTheme="majorHAnsi" w:hAnsiTheme="majorHAnsi" w:cstheme="majorHAnsi"/>
          <w:sz w:val="21"/>
          <w:szCs w:val="21"/>
        </w:rPr>
        <w:t>231.000</w:t>
      </w:r>
      <w:r w:rsidR="001D4839" w:rsidRPr="00D37346">
        <w:rPr>
          <w:rFonts w:asciiTheme="majorHAnsi" w:hAnsiTheme="majorHAnsi" w:cstheme="majorHAnsi"/>
          <w:sz w:val="21"/>
          <w:szCs w:val="21"/>
        </w:rPr>
        <w:t>, +</w:t>
      </w:r>
      <w:r w:rsidR="00511D3F">
        <w:rPr>
          <w:rFonts w:asciiTheme="majorHAnsi" w:hAnsiTheme="majorHAnsi" w:cstheme="majorHAnsi"/>
          <w:sz w:val="21"/>
          <w:szCs w:val="21"/>
        </w:rPr>
        <w:t>11</w:t>
      </w:r>
      <w:r w:rsidR="001D4839" w:rsidRPr="00D37346">
        <w:rPr>
          <w:rFonts w:asciiTheme="majorHAnsi" w:hAnsiTheme="majorHAnsi" w:cstheme="majorHAnsi"/>
          <w:sz w:val="21"/>
          <w:szCs w:val="21"/>
        </w:rPr>
        <w:t>%</w:t>
      </w:r>
      <w:r w:rsidR="004D0B66" w:rsidRPr="00D37346">
        <w:rPr>
          <w:rFonts w:asciiTheme="majorHAnsi" w:hAnsiTheme="majorHAnsi" w:cstheme="majorHAnsi"/>
          <w:sz w:val="21"/>
          <w:szCs w:val="21"/>
        </w:rPr>
        <w:t xml:space="preserve">), </w:t>
      </w:r>
      <w:r w:rsidR="00A539A1" w:rsidRPr="00D37346">
        <w:rPr>
          <w:rFonts w:asciiTheme="majorHAnsi" w:hAnsiTheme="majorHAnsi" w:cstheme="majorHAnsi"/>
          <w:sz w:val="21"/>
          <w:szCs w:val="21"/>
        </w:rPr>
        <w:t>Polen</w:t>
      </w:r>
      <w:r w:rsidR="001603FB" w:rsidRPr="00D37346">
        <w:rPr>
          <w:rFonts w:asciiTheme="majorHAnsi" w:hAnsiTheme="majorHAnsi" w:cstheme="majorHAnsi"/>
          <w:sz w:val="21"/>
          <w:szCs w:val="21"/>
        </w:rPr>
        <w:t xml:space="preserve"> (</w:t>
      </w:r>
      <w:r w:rsidR="00511D3F" w:rsidRPr="00511D3F">
        <w:rPr>
          <w:rFonts w:asciiTheme="majorHAnsi" w:hAnsiTheme="majorHAnsi" w:cstheme="majorHAnsi"/>
          <w:sz w:val="21"/>
          <w:szCs w:val="21"/>
        </w:rPr>
        <w:t>210.000</w:t>
      </w:r>
      <w:r w:rsidR="001D4839" w:rsidRPr="00D37346">
        <w:rPr>
          <w:rFonts w:asciiTheme="majorHAnsi" w:hAnsiTheme="majorHAnsi" w:cstheme="majorHAnsi"/>
          <w:sz w:val="21"/>
          <w:szCs w:val="21"/>
        </w:rPr>
        <w:t>, +</w:t>
      </w:r>
      <w:r w:rsidR="00511D3F">
        <w:rPr>
          <w:rFonts w:asciiTheme="majorHAnsi" w:hAnsiTheme="majorHAnsi" w:cstheme="majorHAnsi"/>
          <w:sz w:val="21"/>
          <w:szCs w:val="21"/>
        </w:rPr>
        <w:t>13</w:t>
      </w:r>
      <w:r w:rsidR="001D4839" w:rsidRPr="00D37346">
        <w:rPr>
          <w:rFonts w:asciiTheme="majorHAnsi" w:hAnsiTheme="majorHAnsi" w:cstheme="majorHAnsi"/>
          <w:sz w:val="21"/>
          <w:szCs w:val="21"/>
        </w:rPr>
        <w:t>%</w:t>
      </w:r>
      <w:r w:rsidR="001603FB" w:rsidRPr="00D37346">
        <w:rPr>
          <w:rFonts w:asciiTheme="majorHAnsi" w:hAnsiTheme="majorHAnsi" w:cstheme="majorHAnsi"/>
          <w:sz w:val="21"/>
          <w:szCs w:val="21"/>
        </w:rPr>
        <w:t xml:space="preserve">), </w:t>
      </w:r>
      <w:r w:rsidR="00A539A1" w:rsidRPr="00D37346">
        <w:rPr>
          <w:rFonts w:asciiTheme="majorHAnsi" w:hAnsiTheme="majorHAnsi" w:cstheme="majorHAnsi"/>
          <w:sz w:val="21"/>
          <w:szCs w:val="21"/>
        </w:rPr>
        <w:t>die Schweiz (</w:t>
      </w:r>
      <w:r w:rsidR="00511D3F" w:rsidRPr="00511D3F">
        <w:rPr>
          <w:rFonts w:asciiTheme="majorHAnsi" w:hAnsiTheme="majorHAnsi" w:cstheme="majorHAnsi"/>
          <w:sz w:val="21"/>
          <w:szCs w:val="21"/>
        </w:rPr>
        <w:t>200.000</w:t>
      </w:r>
      <w:r w:rsidR="001D4839" w:rsidRPr="00D37346">
        <w:rPr>
          <w:rFonts w:asciiTheme="majorHAnsi" w:hAnsiTheme="majorHAnsi" w:cstheme="majorHAnsi"/>
          <w:sz w:val="21"/>
          <w:szCs w:val="21"/>
        </w:rPr>
        <w:t>, +</w:t>
      </w:r>
      <w:r w:rsidR="00511D3F">
        <w:rPr>
          <w:rFonts w:asciiTheme="majorHAnsi" w:hAnsiTheme="majorHAnsi" w:cstheme="majorHAnsi"/>
          <w:sz w:val="21"/>
          <w:szCs w:val="21"/>
        </w:rPr>
        <w:t>11</w:t>
      </w:r>
      <w:r w:rsidR="001D4839" w:rsidRPr="00D37346">
        <w:rPr>
          <w:rFonts w:asciiTheme="majorHAnsi" w:hAnsiTheme="majorHAnsi" w:cstheme="majorHAnsi"/>
          <w:sz w:val="21"/>
          <w:szCs w:val="21"/>
        </w:rPr>
        <w:t>%</w:t>
      </w:r>
      <w:r w:rsidR="00A539A1" w:rsidRPr="00D37346">
        <w:rPr>
          <w:rFonts w:asciiTheme="majorHAnsi" w:hAnsiTheme="majorHAnsi" w:cstheme="majorHAnsi"/>
          <w:sz w:val="21"/>
          <w:szCs w:val="21"/>
        </w:rPr>
        <w:t xml:space="preserve">) </w:t>
      </w:r>
      <w:r w:rsidR="007B0DAC">
        <w:rPr>
          <w:rFonts w:asciiTheme="majorHAnsi" w:hAnsiTheme="majorHAnsi" w:cstheme="majorHAnsi"/>
          <w:sz w:val="21"/>
          <w:szCs w:val="21"/>
        </w:rPr>
        <w:t>und</w:t>
      </w:r>
      <w:r w:rsidR="001603FB" w:rsidRPr="00D37346">
        <w:rPr>
          <w:rFonts w:asciiTheme="majorHAnsi" w:hAnsiTheme="majorHAnsi" w:cstheme="majorHAnsi"/>
          <w:sz w:val="21"/>
          <w:szCs w:val="21"/>
        </w:rPr>
        <w:t xml:space="preserve"> </w:t>
      </w:r>
      <w:r w:rsidR="00511D3F">
        <w:rPr>
          <w:rFonts w:asciiTheme="majorHAnsi" w:hAnsiTheme="majorHAnsi" w:cstheme="majorHAnsi"/>
          <w:sz w:val="21"/>
          <w:szCs w:val="21"/>
        </w:rPr>
        <w:t>Rumänien</w:t>
      </w:r>
      <w:r w:rsidR="00A539A1" w:rsidRPr="00D37346">
        <w:rPr>
          <w:rFonts w:asciiTheme="majorHAnsi" w:hAnsiTheme="majorHAnsi" w:cstheme="majorHAnsi"/>
          <w:sz w:val="21"/>
          <w:szCs w:val="21"/>
        </w:rPr>
        <w:t xml:space="preserve"> (</w:t>
      </w:r>
      <w:r w:rsidR="00511D3F" w:rsidRPr="00511D3F">
        <w:rPr>
          <w:rFonts w:asciiTheme="majorHAnsi" w:hAnsiTheme="majorHAnsi" w:cstheme="majorHAnsi"/>
          <w:sz w:val="21"/>
          <w:szCs w:val="21"/>
        </w:rPr>
        <w:t>141.000</w:t>
      </w:r>
      <w:r w:rsidR="001D4839" w:rsidRPr="00D37346">
        <w:rPr>
          <w:rFonts w:asciiTheme="majorHAnsi" w:hAnsiTheme="majorHAnsi" w:cstheme="majorHAnsi"/>
          <w:sz w:val="21"/>
          <w:szCs w:val="21"/>
        </w:rPr>
        <w:t>, +</w:t>
      </w:r>
      <w:r w:rsidR="00511D3F">
        <w:rPr>
          <w:rFonts w:asciiTheme="majorHAnsi" w:hAnsiTheme="majorHAnsi" w:cstheme="majorHAnsi"/>
          <w:sz w:val="21"/>
          <w:szCs w:val="21"/>
        </w:rPr>
        <w:t>1</w:t>
      </w:r>
      <w:r w:rsidR="001D4839" w:rsidRPr="00D37346">
        <w:rPr>
          <w:rFonts w:asciiTheme="majorHAnsi" w:hAnsiTheme="majorHAnsi" w:cstheme="majorHAnsi"/>
          <w:sz w:val="21"/>
          <w:szCs w:val="21"/>
        </w:rPr>
        <w:t>%</w:t>
      </w:r>
      <w:r w:rsidR="00A539A1" w:rsidRPr="00D37346">
        <w:rPr>
          <w:rFonts w:asciiTheme="majorHAnsi" w:hAnsiTheme="majorHAnsi" w:cstheme="majorHAnsi"/>
          <w:sz w:val="21"/>
          <w:szCs w:val="21"/>
        </w:rPr>
        <w:t xml:space="preserve">) </w:t>
      </w:r>
      <w:r w:rsidR="001603FB" w:rsidRPr="00D37346">
        <w:rPr>
          <w:rFonts w:asciiTheme="majorHAnsi" w:hAnsiTheme="majorHAnsi" w:cstheme="majorHAnsi"/>
          <w:sz w:val="21"/>
          <w:szCs w:val="21"/>
        </w:rPr>
        <w:t xml:space="preserve">komplettieren die Top-10. Der Juni trug mit insgesamt </w:t>
      </w:r>
      <w:r w:rsidR="00511D3F" w:rsidRPr="00511D3F">
        <w:rPr>
          <w:rFonts w:asciiTheme="majorHAnsi" w:hAnsiTheme="majorHAnsi" w:cstheme="majorHAnsi"/>
          <w:sz w:val="21"/>
          <w:szCs w:val="21"/>
        </w:rPr>
        <w:t>1.623.000</w:t>
      </w:r>
      <w:r w:rsidR="00511D3F">
        <w:rPr>
          <w:rFonts w:asciiTheme="majorHAnsi" w:hAnsiTheme="majorHAnsi" w:cstheme="majorHAnsi"/>
          <w:sz w:val="21"/>
          <w:szCs w:val="21"/>
        </w:rPr>
        <w:t xml:space="preserve"> </w:t>
      </w:r>
      <w:r w:rsidR="001603FB" w:rsidRPr="00D37346">
        <w:rPr>
          <w:rFonts w:asciiTheme="majorHAnsi" w:hAnsiTheme="majorHAnsi" w:cstheme="majorHAnsi"/>
          <w:sz w:val="21"/>
          <w:szCs w:val="21"/>
        </w:rPr>
        <w:t xml:space="preserve">Nächtigungen </w:t>
      </w:r>
      <w:r w:rsidR="00511D3F">
        <w:rPr>
          <w:rFonts w:asciiTheme="majorHAnsi" w:hAnsiTheme="majorHAnsi" w:cstheme="majorHAnsi"/>
          <w:sz w:val="21"/>
          <w:szCs w:val="21"/>
        </w:rPr>
        <w:t xml:space="preserve">(+6%) </w:t>
      </w:r>
      <w:r w:rsidR="001603FB" w:rsidRPr="00D37346">
        <w:rPr>
          <w:rFonts w:asciiTheme="majorHAnsi" w:hAnsiTheme="majorHAnsi" w:cstheme="majorHAnsi"/>
          <w:sz w:val="21"/>
          <w:szCs w:val="21"/>
        </w:rPr>
        <w:t>zu diesem Ergebnis bei.</w:t>
      </w:r>
    </w:p>
    <w:p w14:paraId="53A44CF5" w14:textId="77777777" w:rsidR="007908AF" w:rsidRDefault="007908AF" w:rsidP="00B67129">
      <w:pPr>
        <w:spacing w:line="276" w:lineRule="auto"/>
        <w:rPr>
          <w:rFonts w:asciiTheme="majorHAnsi" w:hAnsiTheme="majorHAnsi" w:cstheme="majorHAnsi"/>
          <w:sz w:val="21"/>
          <w:szCs w:val="21"/>
        </w:rPr>
      </w:pPr>
    </w:p>
    <w:p w14:paraId="5A57A10B" w14:textId="3068BDF7" w:rsidR="007908AF" w:rsidRPr="0086796C" w:rsidRDefault="00861A16" w:rsidP="00B67129">
      <w:pPr>
        <w:spacing w:line="276" w:lineRule="auto"/>
        <w:rPr>
          <w:rFonts w:asciiTheme="majorHAnsi" w:hAnsiTheme="majorHAnsi" w:cstheme="majorHAnsi"/>
          <w:b/>
          <w:bCs/>
          <w:sz w:val="21"/>
          <w:szCs w:val="21"/>
        </w:rPr>
      </w:pPr>
      <w:r w:rsidRPr="0086796C">
        <w:rPr>
          <w:rFonts w:asciiTheme="majorHAnsi" w:hAnsiTheme="majorHAnsi" w:cstheme="majorHAnsi"/>
          <w:b/>
          <w:bCs/>
          <w:sz w:val="21"/>
          <w:szCs w:val="21"/>
        </w:rPr>
        <w:t>Wirtschaftsstadtrat Peter Hanke</w:t>
      </w:r>
      <w:r w:rsidR="00A77867" w:rsidRPr="0086796C">
        <w:rPr>
          <w:rFonts w:asciiTheme="majorHAnsi" w:hAnsiTheme="majorHAnsi" w:cstheme="majorHAnsi"/>
          <w:b/>
          <w:bCs/>
          <w:sz w:val="21"/>
          <w:szCs w:val="21"/>
        </w:rPr>
        <w:t>, Präsident des WienTourismus</w:t>
      </w:r>
    </w:p>
    <w:p w14:paraId="522A2359" w14:textId="28588830" w:rsidR="00861A16" w:rsidRDefault="0058367E" w:rsidP="00B67129">
      <w:pPr>
        <w:spacing w:line="276" w:lineRule="auto"/>
        <w:rPr>
          <w:rFonts w:asciiTheme="majorHAnsi" w:hAnsiTheme="majorHAnsi" w:cstheme="majorHAnsi"/>
          <w:i/>
          <w:iCs/>
          <w:sz w:val="21"/>
          <w:szCs w:val="21"/>
        </w:rPr>
      </w:pPr>
      <w:r w:rsidRPr="0058367E">
        <w:rPr>
          <w:rFonts w:asciiTheme="majorHAnsi" w:hAnsiTheme="majorHAnsi" w:cstheme="majorHAnsi"/>
          <w:i/>
          <w:iCs/>
          <w:sz w:val="21"/>
          <w:szCs w:val="21"/>
        </w:rPr>
        <w:t>„Die Bilanz des ersten Halbjahres 2024 zeigt deutlich: Wiens Visitor Economy nimmt erneut ihre gewohnte Rolle als Wirtschaftsmotor und Garant für Ganzjahresarbeitsplätze ein. Dazu kommen vielfältige Spillover-Effekte auf angrenzende Wirtschaftsbereiche wie den Handel, die vom Städtetourismus profitieren. Für den beständigen Einsatz der Unternehmen und ihrer Mitarbeiter:innen bedanke ich mich herzlich! Was mir besonders wichtig ist: Wiens touristischer Erfolg wird auch von den Wiener:innen hoch geschätzt: Neun von zehn Befragten sagen, dass sie dem Tourismus in der Stadt positiv gegenüberstehen.“</w:t>
      </w:r>
    </w:p>
    <w:p w14:paraId="2DCD0A17" w14:textId="77777777" w:rsidR="0058367E" w:rsidRPr="0086796C" w:rsidRDefault="0058367E" w:rsidP="00B67129">
      <w:pPr>
        <w:spacing w:line="276" w:lineRule="auto"/>
        <w:rPr>
          <w:rFonts w:asciiTheme="majorHAnsi" w:hAnsiTheme="majorHAnsi" w:cstheme="majorHAnsi"/>
          <w:sz w:val="21"/>
          <w:szCs w:val="21"/>
        </w:rPr>
      </w:pPr>
    </w:p>
    <w:p w14:paraId="00B1A964" w14:textId="09D89D68" w:rsidR="007908AF" w:rsidRPr="0086796C" w:rsidRDefault="00861A16" w:rsidP="00B67129">
      <w:pPr>
        <w:spacing w:line="276" w:lineRule="auto"/>
        <w:rPr>
          <w:rFonts w:asciiTheme="majorHAnsi" w:hAnsiTheme="majorHAnsi" w:cstheme="majorHAnsi"/>
          <w:b/>
          <w:bCs/>
          <w:sz w:val="21"/>
          <w:szCs w:val="21"/>
        </w:rPr>
      </w:pPr>
      <w:r w:rsidRPr="0086796C">
        <w:rPr>
          <w:rFonts w:asciiTheme="majorHAnsi" w:hAnsiTheme="majorHAnsi" w:cstheme="majorHAnsi"/>
          <w:b/>
          <w:bCs/>
          <w:sz w:val="21"/>
          <w:szCs w:val="21"/>
        </w:rPr>
        <w:t>Tourismusdirektor Norbert Kettner</w:t>
      </w:r>
    </w:p>
    <w:p w14:paraId="51E538AD" w14:textId="4F5E9F86" w:rsidR="007908AF" w:rsidRPr="000866C7" w:rsidRDefault="006E1958" w:rsidP="00575FA3">
      <w:pPr>
        <w:spacing w:line="276" w:lineRule="auto"/>
        <w:rPr>
          <w:rFonts w:asciiTheme="majorHAnsi" w:hAnsiTheme="majorHAnsi" w:cstheme="majorHAnsi"/>
          <w:i/>
          <w:iCs/>
          <w:sz w:val="21"/>
          <w:szCs w:val="21"/>
        </w:rPr>
      </w:pPr>
      <w:r w:rsidRPr="0086796C">
        <w:rPr>
          <w:rFonts w:asciiTheme="majorHAnsi" w:hAnsiTheme="majorHAnsi" w:cstheme="majorHAnsi"/>
          <w:i/>
          <w:iCs/>
          <w:sz w:val="21"/>
          <w:szCs w:val="21"/>
        </w:rPr>
        <w:t>„</w:t>
      </w:r>
      <w:r w:rsidR="00820FDE" w:rsidRPr="0086796C">
        <w:rPr>
          <w:rFonts w:asciiTheme="majorHAnsi" w:hAnsiTheme="majorHAnsi" w:cstheme="majorHAnsi"/>
          <w:i/>
          <w:iCs/>
          <w:sz w:val="21"/>
          <w:szCs w:val="21"/>
        </w:rPr>
        <w:t>Unser bedingungsloses Festhalten am Qualitätstourismus, die Ansprache eines kulturinteressierten und kaufkräftigen Publikums sowie die globale Positionierung Wiens als Meeting Destination haben sich bewährt</w:t>
      </w:r>
      <w:r w:rsidR="00E952D9" w:rsidRPr="0086796C">
        <w:rPr>
          <w:rFonts w:asciiTheme="majorHAnsi" w:hAnsiTheme="majorHAnsi" w:cstheme="majorHAnsi"/>
          <w:i/>
          <w:iCs/>
          <w:sz w:val="21"/>
          <w:szCs w:val="21"/>
        </w:rPr>
        <w:t>.</w:t>
      </w:r>
      <w:r w:rsidR="00820FDE" w:rsidRPr="0086796C">
        <w:rPr>
          <w:rFonts w:asciiTheme="majorHAnsi" w:hAnsiTheme="majorHAnsi" w:cstheme="majorHAnsi"/>
          <w:i/>
          <w:iCs/>
          <w:sz w:val="21"/>
          <w:szCs w:val="21"/>
        </w:rPr>
        <w:t xml:space="preserve"> </w:t>
      </w:r>
      <w:r w:rsidR="00644D66" w:rsidRPr="0086796C">
        <w:rPr>
          <w:rFonts w:asciiTheme="majorHAnsi" w:hAnsiTheme="majorHAnsi" w:cstheme="majorHAnsi"/>
          <w:i/>
          <w:iCs/>
          <w:sz w:val="21"/>
          <w:szCs w:val="21"/>
        </w:rPr>
        <w:t xml:space="preserve">Wiens </w:t>
      </w:r>
      <w:r w:rsidR="006C4E55" w:rsidRPr="0086796C">
        <w:rPr>
          <w:rFonts w:asciiTheme="majorHAnsi" w:hAnsiTheme="majorHAnsi" w:cstheme="majorHAnsi"/>
          <w:i/>
          <w:iCs/>
          <w:sz w:val="21"/>
          <w:szCs w:val="21"/>
        </w:rPr>
        <w:t>Tourismus ist</w:t>
      </w:r>
      <w:r w:rsidR="003227FE" w:rsidRPr="0086796C">
        <w:rPr>
          <w:rFonts w:asciiTheme="majorHAnsi" w:hAnsiTheme="majorHAnsi" w:cstheme="majorHAnsi"/>
          <w:i/>
          <w:iCs/>
          <w:sz w:val="21"/>
          <w:szCs w:val="21"/>
        </w:rPr>
        <w:t xml:space="preserve"> </w:t>
      </w:r>
      <w:r w:rsidR="00644D66" w:rsidRPr="0086796C">
        <w:rPr>
          <w:rFonts w:asciiTheme="majorHAnsi" w:hAnsiTheme="majorHAnsi" w:cstheme="majorHAnsi"/>
          <w:i/>
          <w:iCs/>
          <w:sz w:val="21"/>
          <w:szCs w:val="21"/>
        </w:rPr>
        <w:t>in gewohnter Stärke zurück</w:t>
      </w:r>
      <w:r w:rsidR="00F50F7D">
        <w:rPr>
          <w:rFonts w:asciiTheme="majorHAnsi" w:hAnsiTheme="majorHAnsi" w:cstheme="majorHAnsi"/>
          <w:i/>
          <w:iCs/>
          <w:sz w:val="21"/>
          <w:szCs w:val="21"/>
        </w:rPr>
        <w:t xml:space="preserve"> und liefert im ersten Halbjahr 2024 eine Top-Performance ab. Mit </w:t>
      </w:r>
      <w:r w:rsidR="009D791D" w:rsidRPr="0086796C">
        <w:rPr>
          <w:rFonts w:asciiTheme="majorHAnsi" w:hAnsiTheme="majorHAnsi" w:cstheme="majorHAnsi"/>
          <w:i/>
          <w:iCs/>
          <w:sz w:val="21"/>
          <w:szCs w:val="21"/>
        </w:rPr>
        <w:t xml:space="preserve">rund </w:t>
      </w:r>
      <w:r w:rsidR="00790BE2" w:rsidRPr="0086796C">
        <w:rPr>
          <w:rFonts w:asciiTheme="majorHAnsi" w:hAnsiTheme="majorHAnsi" w:cstheme="majorHAnsi"/>
          <w:i/>
          <w:iCs/>
          <w:sz w:val="21"/>
          <w:szCs w:val="21"/>
        </w:rPr>
        <w:t>80%</w:t>
      </w:r>
      <w:r w:rsidR="00255761" w:rsidRPr="0086796C">
        <w:rPr>
          <w:rFonts w:asciiTheme="majorHAnsi" w:hAnsiTheme="majorHAnsi" w:cstheme="majorHAnsi"/>
          <w:i/>
          <w:iCs/>
          <w:sz w:val="21"/>
          <w:szCs w:val="21"/>
        </w:rPr>
        <w:t xml:space="preserve"> </w:t>
      </w:r>
      <w:r w:rsidR="00F50F7D">
        <w:rPr>
          <w:rFonts w:asciiTheme="majorHAnsi" w:hAnsiTheme="majorHAnsi" w:cstheme="majorHAnsi"/>
          <w:i/>
          <w:iCs/>
          <w:sz w:val="21"/>
          <w:szCs w:val="21"/>
        </w:rPr>
        <w:t>Auslandsnächtigungen ist Wiens Tourismus so international wie</w:t>
      </w:r>
      <w:r w:rsidR="00255761" w:rsidRPr="0086796C">
        <w:rPr>
          <w:rFonts w:asciiTheme="majorHAnsi" w:hAnsiTheme="majorHAnsi" w:cstheme="majorHAnsi"/>
          <w:i/>
          <w:iCs/>
          <w:sz w:val="21"/>
          <w:szCs w:val="21"/>
        </w:rPr>
        <w:t xml:space="preserve"> vor der Pandemie</w:t>
      </w:r>
      <w:r w:rsidR="007360FC" w:rsidRPr="0086796C">
        <w:rPr>
          <w:rFonts w:asciiTheme="majorHAnsi" w:hAnsiTheme="majorHAnsi" w:cstheme="majorHAnsi"/>
          <w:i/>
          <w:iCs/>
          <w:sz w:val="21"/>
          <w:szCs w:val="21"/>
        </w:rPr>
        <w:t>.</w:t>
      </w:r>
      <w:r w:rsidR="00100B47" w:rsidRPr="00100B47">
        <w:t xml:space="preserve"> </w:t>
      </w:r>
      <w:r w:rsidR="00100B47" w:rsidRPr="00100B47">
        <w:rPr>
          <w:rFonts w:asciiTheme="majorHAnsi" w:hAnsiTheme="majorHAnsi" w:cstheme="majorHAnsi"/>
          <w:i/>
          <w:iCs/>
          <w:sz w:val="21"/>
          <w:szCs w:val="21"/>
        </w:rPr>
        <w:t>Maßgeblichen Anteil daran hatten die USA, die als Wiens aufkommensstärkster Fernmarkt nach Österreich und Deutschland zu unseren Top-3 Herkunftsländern gehören</w:t>
      </w:r>
      <w:r w:rsidR="00100B47">
        <w:rPr>
          <w:rFonts w:asciiTheme="majorHAnsi" w:hAnsiTheme="majorHAnsi" w:cstheme="majorHAnsi"/>
          <w:i/>
          <w:iCs/>
          <w:sz w:val="21"/>
          <w:szCs w:val="21"/>
        </w:rPr>
        <w:t>.</w:t>
      </w:r>
      <w:r w:rsidR="00E148E5" w:rsidRPr="0086796C">
        <w:rPr>
          <w:rFonts w:asciiTheme="majorHAnsi" w:hAnsiTheme="majorHAnsi" w:cstheme="majorHAnsi"/>
          <w:i/>
          <w:iCs/>
          <w:sz w:val="21"/>
          <w:szCs w:val="21"/>
        </w:rPr>
        <w:t>“</w:t>
      </w:r>
    </w:p>
    <w:p w14:paraId="2C94E54E" w14:textId="77777777" w:rsidR="006E1958" w:rsidRDefault="006E1958" w:rsidP="00B67129">
      <w:pPr>
        <w:spacing w:line="276" w:lineRule="auto"/>
        <w:rPr>
          <w:rFonts w:asciiTheme="majorHAnsi" w:hAnsiTheme="majorHAnsi" w:cstheme="majorHAnsi"/>
          <w:sz w:val="21"/>
          <w:szCs w:val="21"/>
        </w:rPr>
      </w:pPr>
    </w:p>
    <w:p w14:paraId="01D15E66" w14:textId="72F89E3C" w:rsidR="007908AF" w:rsidRPr="002974C4" w:rsidRDefault="007908AF" w:rsidP="00B67129">
      <w:pPr>
        <w:spacing w:line="276" w:lineRule="auto"/>
        <w:rPr>
          <w:rFonts w:asciiTheme="majorHAnsi" w:hAnsiTheme="majorHAnsi" w:cstheme="majorHAnsi"/>
          <w:b/>
          <w:bCs/>
          <w:sz w:val="21"/>
          <w:szCs w:val="21"/>
        </w:rPr>
      </w:pPr>
      <w:r w:rsidRPr="002974C4">
        <w:rPr>
          <w:rFonts w:asciiTheme="majorHAnsi" w:hAnsiTheme="majorHAnsi" w:cstheme="majorHAnsi"/>
          <w:b/>
          <w:bCs/>
          <w:sz w:val="21"/>
          <w:szCs w:val="21"/>
        </w:rPr>
        <w:t xml:space="preserve">Nächtigungsumsatz </w:t>
      </w:r>
      <w:r w:rsidR="002A79C7" w:rsidRPr="002974C4">
        <w:rPr>
          <w:rFonts w:asciiTheme="majorHAnsi" w:hAnsiTheme="majorHAnsi" w:cstheme="majorHAnsi"/>
          <w:b/>
          <w:bCs/>
          <w:sz w:val="21"/>
          <w:szCs w:val="21"/>
        </w:rPr>
        <w:t xml:space="preserve">wächst </w:t>
      </w:r>
      <w:r w:rsidR="002974C4">
        <w:rPr>
          <w:rFonts w:asciiTheme="majorHAnsi" w:hAnsiTheme="majorHAnsi" w:cstheme="majorHAnsi"/>
          <w:b/>
          <w:bCs/>
          <w:sz w:val="21"/>
          <w:szCs w:val="21"/>
        </w:rPr>
        <w:t xml:space="preserve">weiterhin </w:t>
      </w:r>
      <w:r w:rsidR="002A79C7" w:rsidRPr="002974C4">
        <w:rPr>
          <w:rFonts w:asciiTheme="majorHAnsi" w:hAnsiTheme="majorHAnsi" w:cstheme="majorHAnsi"/>
          <w:b/>
          <w:bCs/>
          <w:sz w:val="21"/>
          <w:szCs w:val="21"/>
        </w:rPr>
        <w:t xml:space="preserve">stärker als </w:t>
      </w:r>
      <w:r w:rsidR="00F50F7D" w:rsidRPr="002974C4">
        <w:rPr>
          <w:rFonts w:asciiTheme="majorHAnsi" w:hAnsiTheme="majorHAnsi" w:cstheme="majorHAnsi"/>
          <w:b/>
          <w:bCs/>
          <w:sz w:val="21"/>
          <w:szCs w:val="21"/>
        </w:rPr>
        <w:t>Nächtigungen</w:t>
      </w:r>
    </w:p>
    <w:p w14:paraId="7384100E" w14:textId="77777777" w:rsidR="007908AF" w:rsidRPr="002974C4" w:rsidRDefault="007908AF" w:rsidP="00B67129">
      <w:pPr>
        <w:spacing w:line="276" w:lineRule="auto"/>
        <w:rPr>
          <w:rFonts w:asciiTheme="majorHAnsi" w:hAnsiTheme="majorHAnsi" w:cstheme="majorHAnsi"/>
          <w:sz w:val="21"/>
          <w:szCs w:val="21"/>
        </w:rPr>
      </w:pPr>
    </w:p>
    <w:p w14:paraId="37EACB07" w14:textId="6E014900" w:rsidR="001603FB" w:rsidRPr="002974C4" w:rsidRDefault="00F432DE" w:rsidP="00B67129">
      <w:pPr>
        <w:spacing w:line="276" w:lineRule="auto"/>
        <w:rPr>
          <w:rFonts w:asciiTheme="majorHAnsi" w:hAnsiTheme="majorHAnsi" w:cstheme="majorHAnsi"/>
          <w:sz w:val="21"/>
          <w:szCs w:val="21"/>
        </w:rPr>
      </w:pPr>
      <w:r w:rsidRPr="002974C4">
        <w:rPr>
          <w:rFonts w:asciiTheme="majorHAnsi" w:hAnsiTheme="majorHAnsi" w:cstheme="majorHAnsi"/>
          <w:sz w:val="21"/>
          <w:szCs w:val="21"/>
        </w:rPr>
        <w:t xml:space="preserve">Der Netto-Nächtigungsumsatz von Wiens Beherbergungsbetrieben betrug im Mai </w:t>
      </w:r>
      <w:r w:rsidR="00511D3F" w:rsidRPr="002974C4">
        <w:rPr>
          <w:rFonts w:asciiTheme="majorHAnsi" w:hAnsiTheme="majorHAnsi" w:cstheme="majorHAnsi"/>
          <w:sz w:val="21"/>
          <w:szCs w:val="21"/>
        </w:rPr>
        <w:t xml:space="preserve">127.156.000 </w:t>
      </w:r>
      <w:r w:rsidRPr="002974C4">
        <w:rPr>
          <w:rFonts w:asciiTheme="majorHAnsi" w:hAnsiTheme="majorHAnsi" w:cstheme="majorHAnsi"/>
          <w:sz w:val="21"/>
          <w:szCs w:val="21"/>
        </w:rPr>
        <w:t xml:space="preserve">Euro – ein Plus von </w:t>
      </w:r>
      <w:r w:rsidR="00511D3F" w:rsidRPr="002974C4">
        <w:rPr>
          <w:rFonts w:asciiTheme="majorHAnsi" w:hAnsiTheme="majorHAnsi" w:cstheme="majorHAnsi"/>
          <w:sz w:val="21"/>
          <w:szCs w:val="21"/>
        </w:rPr>
        <w:t>24</w:t>
      </w:r>
      <w:r w:rsidRPr="002974C4">
        <w:rPr>
          <w:rFonts w:asciiTheme="majorHAnsi" w:hAnsiTheme="majorHAnsi" w:cstheme="majorHAnsi"/>
          <w:sz w:val="21"/>
          <w:szCs w:val="21"/>
        </w:rPr>
        <w:t>% zum Vergleichsmonat 202</w:t>
      </w:r>
      <w:r w:rsidR="001D4839" w:rsidRPr="002974C4">
        <w:rPr>
          <w:rFonts w:asciiTheme="majorHAnsi" w:hAnsiTheme="majorHAnsi" w:cstheme="majorHAnsi"/>
          <w:sz w:val="21"/>
          <w:szCs w:val="21"/>
        </w:rPr>
        <w:t>3</w:t>
      </w:r>
      <w:r w:rsidRPr="002974C4">
        <w:rPr>
          <w:rFonts w:asciiTheme="majorHAnsi" w:hAnsiTheme="majorHAnsi" w:cstheme="majorHAnsi"/>
          <w:sz w:val="21"/>
          <w:szCs w:val="21"/>
        </w:rPr>
        <w:t xml:space="preserve">. </w:t>
      </w:r>
      <w:r w:rsidR="001603FB" w:rsidRPr="002974C4">
        <w:rPr>
          <w:rFonts w:asciiTheme="majorHAnsi" w:hAnsiTheme="majorHAnsi" w:cstheme="majorHAnsi"/>
          <w:sz w:val="21"/>
          <w:szCs w:val="21"/>
        </w:rPr>
        <w:t xml:space="preserve">Zwischen Jänner und Mai konnten die Betriebe </w:t>
      </w:r>
      <w:r w:rsidR="00511D3F" w:rsidRPr="002974C4">
        <w:rPr>
          <w:rFonts w:asciiTheme="majorHAnsi" w:hAnsiTheme="majorHAnsi" w:cstheme="majorHAnsi"/>
          <w:sz w:val="21"/>
          <w:szCs w:val="21"/>
        </w:rPr>
        <w:t xml:space="preserve">445.719.000 </w:t>
      </w:r>
      <w:r w:rsidR="001603FB" w:rsidRPr="002974C4">
        <w:rPr>
          <w:rFonts w:asciiTheme="majorHAnsi" w:hAnsiTheme="majorHAnsi" w:cstheme="majorHAnsi"/>
          <w:sz w:val="21"/>
          <w:szCs w:val="21"/>
        </w:rPr>
        <w:t>Euro erwirtschaften</w:t>
      </w:r>
      <w:r w:rsidR="007908AF" w:rsidRPr="002974C4">
        <w:rPr>
          <w:rFonts w:asciiTheme="majorHAnsi" w:hAnsiTheme="majorHAnsi" w:cstheme="majorHAnsi"/>
          <w:sz w:val="21"/>
          <w:szCs w:val="21"/>
        </w:rPr>
        <w:t>. Das sind</w:t>
      </w:r>
      <w:r w:rsidR="001603FB" w:rsidRPr="002974C4">
        <w:rPr>
          <w:rFonts w:asciiTheme="majorHAnsi" w:hAnsiTheme="majorHAnsi" w:cstheme="majorHAnsi"/>
          <w:sz w:val="21"/>
          <w:szCs w:val="21"/>
        </w:rPr>
        <w:t xml:space="preserve"> um </w:t>
      </w:r>
      <w:r w:rsidR="00511D3F" w:rsidRPr="002974C4">
        <w:rPr>
          <w:rFonts w:asciiTheme="majorHAnsi" w:hAnsiTheme="majorHAnsi" w:cstheme="majorHAnsi"/>
          <w:sz w:val="21"/>
          <w:szCs w:val="21"/>
        </w:rPr>
        <w:t>14</w:t>
      </w:r>
      <w:r w:rsidR="001603FB" w:rsidRPr="002974C4">
        <w:rPr>
          <w:rFonts w:asciiTheme="majorHAnsi" w:hAnsiTheme="majorHAnsi" w:cstheme="majorHAnsi"/>
          <w:sz w:val="21"/>
          <w:szCs w:val="21"/>
        </w:rPr>
        <w:t xml:space="preserve">% mehr als im Vergleichszeitraum </w:t>
      </w:r>
      <w:r w:rsidR="00E703E1" w:rsidRPr="002974C4">
        <w:rPr>
          <w:rFonts w:asciiTheme="majorHAnsi" w:hAnsiTheme="majorHAnsi" w:cstheme="majorHAnsi"/>
          <w:sz w:val="21"/>
          <w:szCs w:val="21"/>
        </w:rPr>
        <w:t>des Vorjahres</w:t>
      </w:r>
      <w:r w:rsidR="001603FB" w:rsidRPr="002974C4">
        <w:rPr>
          <w:rFonts w:asciiTheme="majorHAnsi" w:hAnsiTheme="majorHAnsi" w:cstheme="majorHAnsi"/>
          <w:sz w:val="21"/>
          <w:szCs w:val="21"/>
        </w:rPr>
        <w:t>.</w:t>
      </w:r>
      <w:r w:rsidR="007908AF" w:rsidRPr="002974C4">
        <w:rPr>
          <w:rFonts w:asciiTheme="majorHAnsi" w:hAnsiTheme="majorHAnsi" w:cstheme="majorHAnsi"/>
          <w:sz w:val="21"/>
          <w:szCs w:val="21"/>
        </w:rPr>
        <w:t xml:space="preserve"> </w:t>
      </w:r>
      <w:r w:rsidR="001603FB" w:rsidRPr="002974C4">
        <w:rPr>
          <w:rFonts w:asciiTheme="majorHAnsi" w:hAnsiTheme="majorHAnsi" w:cstheme="majorHAnsi"/>
          <w:sz w:val="21"/>
          <w:szCs w:val="21"/>
        </w:rPr>
        <w:t xml:space="preserve">Die durchschnittliche Auslastung der </w:t>
      </w:r>
      <w:r w:rsidR="003C2CC0" w:rsidRPr="002974C4">
        <w:rPr>
          <w:rFonts w:asciiTheme="majorHAnsi" w:hAnsiTheme="majorHAnsi" w:cstheme="majorHAnsi"/>
          <w:sz w:val="21"/>
          <w:szCs w:val="21"/>
        </w:rPr>
        <w:t>Hotelz</w:t>
      </w:r>
      <w:r w:rsidR="001603FB" w:rsidRPr="002974C4">
        <w:rPr>
          <w:rFonts w:asciiTheme="majorHAnsi" w:hAnsiTheme="majorHAnsi" w:cstheme="majorHAnsi"/>
          <w:sz w:val="21"/>
          <w:szCs w:val="21"/>
        </w:rPr>
        <w:t xml:space="preserve">immer </w:t>
      </w:r>
      <w:r w:rsidR="00387233" w:rsidRPr="002974C4">
        <w:rPr>
          <w:rFonts w:asciiTheme="majorHAnsi" w:hAnsiTheme="majorHAnsi" w:cstheme="majorHAnsi"/>
          <w:sz w:val="21"/>
          <w:szCs w:val="21"/>
        </w:rPr>
        <w:t xml:space="preserve">betrug </w:t>
      </w:r>
      <w:r w:rsidR="001603FB" w:rsidRPr="002974C4">
        <w:rPr>
          <w:rFonts w:asciiTheme="majorHAnsi" w:hAnsiTheme="majorHAnsi" w:cstheme="majorHAnsi"/>
          <w:sz w:val="21"/>
          <w:szCs w:val="21"/>
        </w:rPr>
        <w:t xml:space="preserve">rund </w:t>
      </w:r>
      <w:r w:rsidR="00EA323B" w:rsidRPr="002974C4">
        <w:rPr>
          <w:rFonts w:asciiTheme="majorHAnsi" w:hAnsiTheme="majorHAnsi" w:cstheme="majorHAnsi"/>
          <w:sz w:val="21"/>
          <w:szCs w:val="21"/>
        </w:rPr>
        <w:t>7</w:t>
      </w:r>
      <w:r w:rsidR="003C2CC0" w:rsidRPr="002974C4">
        <w:rPr>
          <w:rFonts w:asciiTheme="majorHAnsi" w:hAnsiTheme="majorHAnsi" w:cstheme="majorHAnsi"/>
          <w:sz w:val="21"/>
          <w:szCs w:val="21"/>
        </w:rPr>
        <w:t>3</w:t>
      </w:r>
      <w:r w:rsidR="001603FB" w:rsidRPr="002974C4">
        <w:rPr>
          <w:rFonts w:asciiTheme="majorHAnsi" w:hAnsiTheme="majorHAnsi" w:cstheme="majorHAnsi"/>
          <w:sz w:val="21"/>
          <w:szCs w:val="21"/>
        </w:rPr>
        <w:t>% (06/202</w:t>
      </w:r>
      <w:r w:rsidR="001D4839" w:rsidRPr="002974C4">
        <w:rPr>
          <w:rFonts w:asciiTheme="majorHAnsi" w:hAnsiTheme="majorHAnsi" w:cstheme="majorHAnsi"/>
          <w:sz w:val="21"/>
          <w:szCs w:val="21"/>
        </w:rPr>
        <w:t>3</w:t>
      </w:r>
      <w:r w:rsidR="001603FB" w:rsidRPr="002974C4">
        <w:rPr>
          <w:rFonts w:asciiTheme="majorHAnsi" w:hAnsiTheme="majorHAnsi" w:cstheme="majorHAnsi"/>
          <w:sz w:val="21"/>
          <w:szCs w:val="21"/>
        </w:rPr>
        <w:t xml:space="preserve">: rund </w:t>
      </w:r>
      <w:r w:rsidR="00EA323B" w:rsidRPr="002974C4">
        <w:rPr>
          <w:rFonts w:asciiTheme="majorHAnsi" w:hAnsiTheme="majorHAnsi" w:cstheme="majorHAnsi"/>
          <w:sz w:val="21"/>
          <w:szCs w:val="21"/>
        </w:rPr>
        <w:t>75</w:t>
      </w:r>
      <w:r w:rsidR="001603FB" w:rsidRPr="002974C4">
        <w:rPr>
          <w:rFonts w:asciiTheme="majorHAnsi" w:hAnsiTheme="majorHAnsi" w:cstheme="majorHAnsi"/>
          <w:sz w:val="21"/>
          <w:szCs w:val="21"/>
        </w:rPr>
        <w:t>%)</w:t>
      </w:r>
      <w:r w:rsidR="00387233" w:rsidRPr="002974C4">
        <w:rPr>
          <w:rFonts w:asciiTheme="majorHAnsi" w:hAnsiTheme="majorHAnsi" w:cstheme="majorHAnsi"/>
          <w:sz w:val="21"/>
          <w:szCs w:val="21"/>
        </w:rPr>
        <w:t xml:space="preserve">, jene der Hotelbetten betrug im Juni </w:t>
      </w:r>
      <w:r w:rsidR="00EA323B" w:rsidRPr="002974C4">
        <w:rPr>
          <w:rFonts w:asciiTheme="majorHAnsi" w:hAnsiTheme="majorHAnsi" w:cstheme="majorHAnsi"/>
          <w:sz w:val="21"/>
          <w:szCs w:val="21"/>
        </w:rPr>
        <w:t>57,2</w:t>
      </w:r>
      <w:r w:rsidR="00387233" w:rsidRPr="002974C4">
        <w:rPr>
          <w:rFonts w:asciiTheme="majorHAnsi" w:hAnsiTheme="majorHAnsi" w:cstheme="majorHAnsi"/>
          <w:sz w:val="21"/>
          <w:szCs w:val="21"/>
        </w:rPr>
        <w:t>% (06/202</w:t>
      </w:r>
      <w:r w:rsidR="001D4839" w:rsidRPr="002974C4">
        <w:rPr>
          <w:rFonts w:asciiTheme="majorHAnsi" w:hAnsiTheme="majorHAnsi" w:cstheme="majorHAnsi"/>
          <w:sz w:val="21"/>
          <w:szCs w:val="21"/>
        </w:rPr>
        <w:t>3</w:t>
      </w:r>
      <w:r w:rsidR="00387233" w:rsidRPr="002974C4">
        <w:rPr>
          <w:rFonts w:asciiTheme="majorHAnsi" w:hAnsiTheme="majorHAnsi" w:cstheme="majorHAnsi"/>
          <w:sz w:val="21"/>
          <w:szCs w:val="21"/>
        </w:rPr>
        <w:t xml:space="preserve">: </w:t>
      </w:r>
      <w:r w:rsidR="00EA323B" w:rsidRPr="002974C4">
        <w:rPr>
          <w:rFonts w:asciiTheme="majorHAnsi" w:hAnsiTheme="majorHAnsi" w:cstheme="majorHAnsi"/>
          <w:sz w:val="21"/>
          <w:szCs w:val="21"/>
        </w:rPr>
        <w:t>58,1</w:t>
      </w:r>
      <w:r w:rsidR="00387233" w:rsidRPr="002974C4">
        <w:rPr>
          <w:rFonts w:asciiTheme="majorHAnsi" w:hAnsiTheme="majorHAnsi" w:cstheme="majorHAnsi"/>
          <w:sz w:val="21"/>
          <w:szCs w:val="21"/>
        </w:rPr>
        <w:t>%)</w:t>
      </w:r>
      <w:r w:rsidR="001603FB" w:rsidRPr="002974C4">
        <w:rPr>
          <w:rFonts w:asciiTheme="majorHAnsi" w:hAnsiTheme="majorHAnsi" w:cstheme="majorHAnsi"/>
          <w:sz w:val="21"/>
          <w:szCs w:val="21"/>
        </w:rPr>
        <w:t xml:space="preserve">. Im Zeitraum Jänner bis Juni lag die Zimmerauslastung bei rund </w:t>
      </w:r>
      <w:r w:rsidR="00EA323B" w:rsidRPr="002974C4">
        <w:rPr>
          <w:rFonts w:asciiTheme="majorHAnsi" w:hAnsiTheme="majorHAnsi" w:cstheme="majorHAnsi"/>
          <w:sz w:val="21"/>
          <w:szCs w:val="21"/>
        </w:rPr>
        <w:t>64</w:t>
      </w:r>
      <w:r w:rsidR="001603FB" w:rsidRPr="002974C4">
        <w:rPr>
          <w:rFonts w:asciiTheme="majorHAnsi" w:hAnsiTheme="majorHAnsi" w:cstheme="majorHAnsi"/>
          <w:sz w:val="21"/>
          <w:szCs w:val="21"/>
        </w:rPr>
        <w:t>% (01-06/202</w:t>
      </w:r>
      <w:r w:rsidR="001D4839" w:rsidRPr="002974C4">
        <w:rPr>
          <w:rFonts w:asciiTheme="majorHAnsi" w:hAnsiTheme="majorHAnsi" w:cstheme="majorHAnsi"/>
          <w:sz w:val="21"/>
          <w:szCs w:val="21"/>
        </w:rPr>
        <w:t>3</w:t>
      </w:r>
      <w:r w:rsidR="001603FB" w:rsidRPr="002974C4">
        <w:rPr>
          <w:rFonts w:asciiTheme="majorHAnsi" w:hAnsiTheme="majorHAnsi" w:cstheme="majorHAnsi"/>
          <w:sz w:val="21"/>
          <w:szCs w:val="21"/>
        </w:rPr>
        <w:t xml:space="preserve">: rund </w:t>
      </w:r>
      <w:r w:rsidR="00EA323B" w:rsidRPr="002974C4">
        <w:rPr>
          <w:rFonts w:asciiTheme="majorHAnsi" w:hAnsiTheme="majorHAnsi" w:cstheme="majorHAnsi"/>
          <w:sz w:val="21"/>
          <w:szCs w:val="21"/>
        </w:rPr>
        <w:t>6</w:t>
      </w:r>
      <w:r w:rsidR="00E703E1" w:rsidRPr="002974C4">
        <w:rPr>
          <w:rFonts w:asciiTheme="majorHAnsi" w:hAnsiTheme="majorHAnsi" w:cstheme="majorHAnsi"/>
          <w:sz w:val="21"/>
          <w:szCs w:val="21"/>
        </w:rPr>
        <w:t>3</w:t>
      </w:r>
      <w:r w:rsidR="001603FB" w:rsidRPr="002974C4">
        <w:rPr>
          <w:rFonts w:asciiTheme="majorHAnsi" w:hAnsiTheme="majorHAnsi" w:cstheme="majorHAnsi"/>
          <w:sz w:val="21"/>
          <w:szCs w:val="21"/>
        </w:rPr>
        <w:t>%)</w:t>
      </w:r>
      <w:r w:rsidR="00387233" w:rsidRPr="002974C4">
        <w:rPr>
          <w:rFonts w:asciiTheme="majorHAnsi" w:hAnsiTheme="majorHAnsi" w:cstheme="majorHAnsi"/>
          <w:sz w:val="21"/>
          <w:szCs w:val="21"/>
        </w:rPr>
        <w:t xml:space="preserve">, die der Bettenauslastung bei </w:t>
      </w:r>
      <w:r w:rsidR="00EA323B" w:rsidRPr="002974C4">
        <w:rPr>
          <w:rFonts w:asciiTheme="majorHAnsi" w:hAnsiTheme="majorHAnsi" w:cstheme="majorHAnsi"/>
          <w:sz w:val="21"/>
          <w:szCs w:val="21"/>
        </w:rPr>
        <w:t>49,6</w:t>
      </w:r>
      <w:r w:rsidR="00387233" w:rsidRPr="002974C4">
        <w:rPr>
          <w:rFonts w:asciiTheme="majorHAnsi" w:hAnsiTheme="majorHAnsi" w:cstheme="majorHAnsi"/>
          <w:sz w:val="21"/>
          <w:szCs w:val="21"/>
        </w:rPr>
        <w:t>% (01-</w:t>
      </w:r>
      <w:r w:rsidR="00387233" w:rsidRPr="002974C4">
        <w:rPr>
          <w:rFonts w:asciiTheme="majorHAnsi" w:hAnsiTheme="majorHAnsi" w:cstheme="majorHAnsi"/>
          <w:sz w:val="21"/>
          <w:szCs w:val="21"/>
        </w:rPr>
        <w:lastRenderedPageBreak/>
        <w:t>06/202</w:t>
      </w:r>
      <w:r w:rsidR="001D4839" w:rsidRPr="002974C4">
        <w:rPr>
          <w:rFonts w:asciiTheme="majorHAnsi" w:hAnsiTheme="majorHAnsi" w:cstheme="majorHAnsi"/>
          <w:sz w:val="21"/>
          <w:szCs w:val="21"/>
        </w:rPr>
        <w:t>3</w:t>
      </w:r>
      <w:r w:rsidR="00387233" w:rsidRPr="002974C4">
        <w:rPr>
          <w:rFonts w:asciiTheme="majorHAnsi" w:hAnsiTheme="majorHAnsi" w:cstheme="majorHAnsi"/>
          <w:sz w:val="21"/>
          <w:szCs w:val="21"/>
        </w:rPr>
        <w:t xml:space="preserve">: </w:t>
      </w:r>
      <w:r w:rsidR="00EA323B" w:rsidRPr="002974C4">
        <w:rPr>
          <w:rFonts w:asciiTheme="majorHAnsi" w:hAnsiTheme="majorHAnsi" w:cstheme="majorHAnsi"/>
          <w:sz w:val="21"/>
          <w:szCs w:val="21"/>
        </w:rPr>
        <w:t>48,8</w:t>
      </w:r>
      <w:r w:rsidR="00387233" w:rsidRPr="002974C4">
        <w:rPr>
          <w:rFonts w:asciiTheme="majorHAnsi" w:hAnsiTheme="majorHAnsi" w:cstheme="majorHAnsi"/>
          <w:sz w:val="21"/>
          <w:szCs w:val="21"/>
        </w:rPr>
        <w:t>%)</w:t>
      </w:r>
      <w:r w:rsidR="001603FB" w:rsidRPr="002974C4">
        <w:rPr>
          <w:rFonts w:asciiTheme="majorHAnsi" w:hAnsiTheme="majorHAnsi" w:cstheme="majorHAnsi"/>
          <w:sz w:val="21"/>
          <w:szCs w:val="21"/>
        </w:rPr>
        <w:t xml:space="preserve">. Insgesamt wurden in Wien im Juni mit rund </w:t>
      </w:r>
      <w:r w:rsidR="00EA323B" w:rsidRPr="002974C4">
        <w:rPr>
          <w:rFonts w:asciiTheme="majorHAnsi" w:hAnsiTheme="majorHAnsi" w:cstheme="majorHAnsi"/>
          <w:sz w:val="21"/>
          <w:szCs w:val="21"/>
        </w:rPr>
        <w:t>76.800</w:t>
      </w:r>
      <w:r w:rsidR="001603FB" w:rsidRPr="002974C4">
        <w:rPr>
          <w:rFonts w:asciiTheme="majorHAnsi" w:hAnsiTheme="majorHAnsi" w:cstheme="majorHAnsi"/>
          <w:sz w:val="21"/>
          <w:szCs w:val="21"/>
        </w:rPr>
        <w:t xml:space="preserve"> Hotelbetten um rund </w:t>
      </w:r>
      <w:r w:rsidR="00EA323B" w:rsidRPr="002974C4">
        <w:rPr>
          <w:rFonts w:asciiTheme="majorHAnsi" w:hAnsiTheme="majorHAnsi" w:cstheme="majorHAnsi"/>
          <w:sz w:val="21"/>
          <w:szCs w:val="21"/>
        </w:rPr>
        <w:t>5.</w:t>
      </w:r>
      <w:r w:rsidR="003C2CC0" w:rsidRPr="002974C4">
        <w:rPr>
          <w:rFonts w:asciiTheme="majorHAnsi" w:hAnsiTheme="majorHAnsi" w:cstheme="majorHAnsi"/>
          <w:sz w:val="21"/>
          <w:szCs w:val="21"/>
        </w:rPr>
        <w:t>8</w:t>
      </w:r>
      <w:r w:rsidR="00EA323B" w:rsidRPr="002974C4">
        <w:rPr>
          <w:rFonts w:asciiTheme="majorHAnsi" w:hAnsiTheme="majorHAnsi" w:cstheme="majorHAnsi"/>
          <w:sz w:val="21"/>
          <w:szCs w:val="21"/>
        </w:rPr>
        <w:t>00</w:t>
      </w:r>
      <w:r w:rsidR="001603FB" w:rsidRPr="002974C4">
        <w:rPr>
          <w:rFonts w:asciiTheme="majorHAnsi" w:hAnsiTheme="majorHAnsi" w:cstheme="majorHAnsi"/>
          <w:sz w:val="21"/>
          <w:szCs w:val="21"/>
        </w:rPr>
        <w:t xml:space="preserve"> Betten </w:t>
      </w:r>
      <w:r w:rsidR="00292212" w:rsidRPr="002974C4">
        <w:rPr>
          <w:rFonts w:asciiTheme="majorHAnsi" w:hAnsiTheme="majorHAnsi" w:cstheme="majorHAnsi"/>
          <w:sz w:val="21"/>
          <w:szCs w:val="21"/>
        </w:rPr>
        <w:t xml:space="preserve">(+8,2%) </w:t>
      </w:r>
      <w:r w:rsidR="001603FB" w:rsidRPr="002974C4">
        <w:rPr>
          <w:rFonts w:asciiTheme="majorHAnsi" w:hAnsiTheme="majorHAnsi" w:cstheme="majorHAnsi"/>
          <w:sz w:val="21"/>
          <w:szCs w:val="21"/>
        </w:rPr>
        <w:t>mehr angeboten als im Juni 202</w:t>
      </w:r>
      <w:r w:rsidR="001D4839" w:rsidRPr="002974C4">
        <w:rPr>
          <w:rFonts w:asciiTheme="majorHAnsi" w:hAnsiTheme="majorHAnsi" w:cstheme="majorHAnsi"/>
          <w:sz w:val="21"/>
          <w:szCs w:val="21"/>
        </w:rPr>
        <w:t>3</w:t>
      </w:r>
      <w:r w:rsidR="001603FB" w:rsidRPr="002974C4">
        <w:rPr>
          <w:rFonts w:asciiTheme="majorHAnsi" w:hAnsiTheme="majorHAnsi" w:cstheme="majorHAnsi"/>
          <w:sz w:val="21"/>
          <w:szCs w:val="21"/>
        </w:rPr>
        <w:t>.</w:t>
      </w:r>
    </w:p>
    <w:p w14:paraId="457B9738" w14:textId="77777777" w:rsidR="001603FB" w:rsidRPr="002974C4" w:rsidRDefault="001603FB" w:rsidP="00B67129">
      <w:pPr>
        <w:spacing w:line="276" w:lineRule="auto"/>
        <w:rPr>
          <w:rFonts w:asciiTheme="majorHAnsi" w:hAnsiTheme="majorHAnsi" w:cstheme="majorHAnsi"/>
          <w:sz w:val="21"/>
          <w:szCs w:val="21"/>
        </w:rPr>
      </w:pPr>
    </w:p>
    <w:p w14:paraId="79776870" w14:textId="74EE98D4" w:rsidR="00A77867" w:rsidRPr="002974C4" w:rsidRDefault="001B2ED9" w:rsidP="00A77867">
      <w:pPr>
        <w:spacing w:line="276" w:lineRule="auto"/>
        <w:rPr>
          <w:rFonts w:asciiTheme="minorHAnsi" w:hAnsiTheme="minorHAnsi" w:cstheme="minorHAnsi"/>
          <w:b/>
          <w:bCs/>
          <w:szCs w:val="21"/>
        </w:rPr>
      </w:pPr>
      <w:r w:rsidRPr="002974C4">
        <w:rPr>
          <w:rFonts w:asciiTheme="minorHAnsi" w:hAnsiTheme="minorHAnsi" w:cstheme="minorHAnsi"/>
          <w:b/>
          <w:bCs/>
          <w:szCs w:val="21"/>
        </w:rPr>
        <w:t>Die Kennzahlen im Detail</w:t>
      </w:r>
    </w:p>
    <w:p w14:paraId="2E54C994" w14:textId="77777777" w:rsidR="00511D3F" w:rsidRPr="002974C4" w:rsidRDefault="00511D3F" w:rsidP="00511D3F">
      <w:pPr>
        <w:rPr>
          <w:rFonts w:ascii="Arial" w:eastAsia="Times New Roman" w:hAnsi="Arial" w:cs="Arial"/>
          <w:sz w:val="20"/>
          <w:szCs w:val="20"/>
          <w:lang w:val="de-DE" w:eastAsia="zh-CN" w:bidi="th-TH"/>
        </w:rPr>
      </w:pPr>
    </w:p>
    <w:tbl>
      <w:tblPr>
        <w:tblpPr w:leftFromText="141" w:rightFromText="141" w:vertAnchor="text" w:tblpY="1"/>
        <w:tblOverlap w:val="never"/>
        <w:tblW w:w="8287" w:type="dxa"/>
        <w:tblBorders>
          <w:top w:val="single" w:sz="4" w:space="0" w:color="E52236"/>
          <w:left w:val="single" w:sz="4" w:space="0" w:color="E52236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1560"/>
        <w:gridCol w:w="1128"/>
        <w:gridCol w:w="1423"/>
        <w:gridCol w:w="1276"/>
      </w:tblGrid>
      <w:tr w:rsidR="00511D3F" w:rsidRPr="002974C4" w14:paraId="6482EBBB" w14:textId="77777777" w:rsidTr="006A3398">
        <w:trPr>
          <w:trHeight w:val="270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5C60A10" w14:textId="77777777" w:rsidR="00511D3F" w:rsidRPr="002974C4" w:rsidRDefault="00511D3F" w:rsidP="00511D3F">
            <w:pP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zh-CN" w:bidi="th-TH"/>
              </w:rPr>
            </w:pPr>
            <w:r w:rsidRPr="002974C4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val="de-DE" w:eastAsia="zh-CN" w:bidi="th-TH"/>
              </w:rPr>
              <w:t>Herkunftsland</w:t>
            </w:r>
          </w:p>
        </w:tc>
        <w:tc>
          <w:tcPr>
            <w:tcW w:w="2688" w:type="dxa"/>
            <w:gridSpan w:val="2"/>
            <w:tcBorders>
              <w:top w:val="single" w:sz="4" w:space="0" w:color="E52236"/>
              <w:lef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97CAC61" w14:textId="77777777" w:rsidR="00511D3F" w:rsidRPr="002974C4" w:rsidRDefault="00511D3F" w:rsidP="00511D3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 w:bidi="th-TH"/>
              </w:rPr>
            </w:pPr>
            <w:r w:rsidRPr="002974C4">
              <w:rPr>
                <w:rFonts w:ascii="Arial" w:eastAsia="Times New Roman" w:hAnsi="Arial" w:cs="Arial"/>
                <w:b/>
                <w:sz w:val="20"/>
                <w:szCs w:val="20"/>
                <w:lang w:val="de-DE" w:eastAsia="zh-CN" w:bidi="th-TH"/>
              </w:rPr>
              <w:t>Nächtigungen</w:t>
            </w:r>
            <w:r w:rsidRPr="002974C4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de-DE" w:eastAsia="zh-CN" w:bidi="th-TH"/>
              </w:rPr>
              <w:t>1)</w:t>
            </w:r>
          </w:p>
        </w:tc>
        <w:tc>
          <w:tcPr>
            <w:tcW w:w="2699" w:type="dxa"/>
            <w:gridSpan w:val="2"/>
            <w:tcBorders>
              <w:top w:val="single" w:sz="4" w:space="0" w:color="E52236"/>
              <w:left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EEDD14A" w14:textId="77777777" w:rsidR="00511D3F" w:rsidRPr="002974C4" w:rsidRDefault="00511D3F" w:rsidP="00511D3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 w:bidi="th-TH"/>
              </w:rPr>
            </w:pPr>
          </w:p>
        </w:tc>
      </w:tr>
      <w:tr w:rsidR="00511D3F" w:rsidRPr="002974C4" w14:paraId="197E13D0" w14:textId="77777777" w:rsidTr="006A3398">
        <w:trPr>
          <w:trHeight w:val="285"/>
        </w:trPr>
        <w:tc>
          <w:tcPr>
            <w:tcW w:w="2900" w:type="dxa"/>
            <w:tcBorders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D9A5BB3" w14:textId="77777777" w:rsidR="00511D3F" w:rsidRPr="002974C4" w:rsidRDefault="00511D3F" w:rsidP="00511D3F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zh-CN" w:bidi="th-TH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5BC91AE" w14:textId="77777777" w:rsidR="00511D3F" w:rsidRPr="002974C4" w:rsidRDefault="00511D3F" w:rsidP="00511D3F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974C4">
              <w:rPr>
                <w:rFonts w:ascii="Arial" w:eastAsia="Times New Roman" w:hAnsi="Arial" w:cs="Arial"/>
                <w:color w:val="000000"/>
                <w:lang w:val="de-DE" w:eastAsia="zh-CN" w:bidi="th-TH"/>
              </w:rPr>
              <w:t>Jänner-Juni 2024</w:t>
            </w:r>
          </w:p>
        </w:tc>
        <w:tc>
          <w:tcPr>
            <w:tcW w:w="2699" w:type="dxa"/>
            <w:gridSpan w:val="2"/>
            <w:tcBorders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E2DAE21" w14:textId="77777777" w:rsidR="00511D3F" w:rsidRPr="002974C4" w:rsidRDefault="00511D3F" w:rsidP="00511D3F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974C4">
              <w:rPr>
                <w:rFonts w:ascii="Arial" w:eastAsia="Times New Roman" w:hAnsi="Arial" w:cs="Arial"/>
                <w:color w:val="000000"/>
                <w:lang w:val="de-DE" w:eastAsia="zh-CN" w:bidi="th-TH"/>
              </w:rPr>
              <w:t>Juni 2024</w:t>
            </w:r>
          </w:p>
        </w:tc>
      </w:tr>
      <w:tr w:rsidR="00511D3F" w:rsidRPr="002974C4" w14:paraId="51359B05" w14:textId="77777777" w:rsidTr="006A3398">
        <w:trPr>
          <w:trHeight w:val="285"/>
        </w:trPr>
        <w:tc>
          <w:tcPr>
            <w:tcW w:w="2900" w:type="dxa"/>
            <w:tcBorders>
              <w:top w:val="single" w:sz="4" w:space="0" w:color="FF00FF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4CAD4A7" w14:textId="77777777" w:rsidR="00511D3F" w:rsidRPr="002974C4" w:rsidRDefault="00511D3F" w:rsidP="00511D3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Österreich</w:t>
            </w:r>
          </w:p>
        </w:tc>
        <w:tc>
          <w:tcPr>
            <w:tcW w:w="1560" w:type="dxa"/>
            <w:tcBorders>
              <w:top w:val="single" w:sz="4" w:space="0" w:color="FF00FF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44CC616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1.653.000</w:t>
            </w:r>
          </w:p>
        </w:tc>
        <w:tc>
          <w:tcPr>
            <w:tcW w:w="1128" w:type="dxa"/>
            <w:tcBorders>
              <w:top w:val="single" w:sz="4" w:space="0" w:color="FF00FF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0581567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  <w:t>+ 11 %</w:t>
            </w:r>
          </w:p>
        </w:tc>
        <w:tc>
          <w:tcPr>
            <w:tcW w:w="1423" w:type="dxa"/>
            <w:tcBorders>
              <w:top w:val="single" w:sz="4" w:space="0" w:color="FF00FF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E3A0155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320.000</w:t>
            </w:r>
          </w:p>
        </w:tc>
        <w:tc>
          <w:tcPr>
            <w:tcW w:w="1276" w:type="dxa"/>
            <w:tcBorders>
              <w:top w:val="single" w:sz="4" w:space="0" w:color="FF00FF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2520FD0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  <w:t>+ 6 %</w:t>
            </w:r>
          </w:p>
        </w:tc>
      </w:tr>
      <w:tr w:rsidR="00511D3F" w:rsidRPr="002974C4" w14:paraId="0381EE77" w14:textId="77777777" w:rsidTr="006A3398">
        <w:trPr>
          <w:trHeight w:val="285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088DD6B" w14:textId="77777777" w:rsidR="00511D3F" w:rsidRPr="002974C4" w:rsidRDefault="00511D3F" w:rsidP="00511D3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Deutschland</w:t>
            </w:r>
          </w:p>
        </w:tc>
        <w:tc>
          <w:tcPr>
            <w:tcW w:w="156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DA31A19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1.608.000</w:t>
            </w:r>
          </w:p>
        </w:tc>
        <w:tc>
          <w:tcPr>
            <w:tcW w:w="1128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52D352F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  <w:t>+ 8 %</w:t>
            </w:r>
          </w:p>
        </w:tc>
        <w:tc>
          <w:tcPr>
            <w:tcW w:w="1423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25E088A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302.000</w:t>
            </w:r>
          </w:p>
        </w:tc>
        <w:tc>
          <w:tcPr>
            <w:tcW w:w="1276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C7A865F" w14:textId="6E037590" w:rsidR="00511D3F" w:rsidRPr="002974C4" w:rsidRDefault="00565D00" w:rsidP="00511D3F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  <w:t>+/</w:t>
            </w:r>
            <w:r w:rsidR="00511D3F" w:rsidRPr="002974C4"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  <w:t>- 0 %</w:t>
            </w:r>
          </w:p>
        </w:tc>
      </w:tr>
      <w:tr w:rsidR="00511D3F" w:rsidRPr="002974C4" w14:paraId="29BE85C0" w14:textId="77777777" w:rsidTr="006A3398">
        <w:trPr>
          <w:trHeight w:val="285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AA5F9C3" w14:textId="77777777" w:rsidR="00511D3F" w:rsidRPr="002974C4" w:rsidRDefault="00511D3F" w:rsidP="00511D3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USA</w:t>
            </w:r>
          </w:p>
        </w:tc>
        <w:tc>
          <w:tcPr>
            <w:tcW w:w="156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C6B7FF6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bookmarkStart w:id="0" w:name="_Hlk172029106"/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473.000</w:t>
            </w:r>
            <w:bookmarkEnd w:id="0"/>
          </w:p>
        </w:tc>
        <w:tc>
          <w:tcPr>
            <w:tcW w:w="1128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318DD35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  <w:t>+ 11 %</w:t>
            </w:r>
          </w:p>
        </w:tc>
        <w:tc>
          <w:tcPr>
            <w:tcW w:w="1423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BEAEFC0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133.000</w:t>
            </w:r>
          </w:p>
        </w:tc>
        <w:tc>
          <w:tcPr>
            <w:tcW w:w="1276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EFC8D1E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  <w:t>+ 6 %</w:t>
            </w:r>
          </w:p>
        </w:tc>
      </w:tr>
      <w:tr w:rsidR="00511D3F" w:rsidRPr="002974C4" w14:paraId="7C149ADB" w14:textId="77777777" w:rsidTr="006A3398">
        <w:trPr>
          <w:trHeight w:val="285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D1DE607" w14:textId="77777777" w:rsidR="00511D3F" w:rsidRPr="002974C4" w:rsidRDefault="00511D3F" w:rsidP="00511D3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Italien</w:t>
            </w:r>
          </w:p>
        </w:tc>
        <w:tc>
          <w:tcPr>
            <w:tcW w:w="156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F0E54C3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bookmarkStart w:id="1" w:name="_Hlk172029125"/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436.000</w:t>
            </w:r>
            <w:bookmarkEnd w:id="1"/>
          </w:p>
        </w:tc>
        <w:tc>
          <w:tcPr>
            <w:tcW w:w="1128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3D69BD9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  <w:t>+ 17 %</w:t>
            </w:r>
          </w:p>
        </w:tc>
        <w:tc>
          <w:tcPr>
            <w:tcW w:w="1423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B25B9F6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53.000</w:t>
            </w:r>
          </w:p>
        </w:tc>
        <w:tc>
          <w:tcPr>
            <w:tcW w:w="1276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15BDC06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  <w:t>+ 6 %</w:t>
            </w:r>
          </w:p>
        </w:tc>
      </w:tr>
      <w:tr w:rsidR="00511D3F" w:rsidRPr="002974C4" w14:paraId="5D48B89A" w14:textId="77777777" w:rsidTr="006A3398">
        <w:trPr>
          <w:trHeight w:val="285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D85CB1B" w14:textId="77777777" w:rsidR="00511D3F" w:rsidRPr="002974C4" w:rsidRDefault="00511D3F" w:rsidP="00511D3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Großbritannien, Nordirland</w:t>
            </w:r>
          </w:p>
        </w:tc>
        <w:tc>
          <w:tcPr>
            <w:tcW w:w="156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0CD94E9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337.000</w:t>
            </w:r>
          </w:p>
        </w:tc>
        <w:tc>
          <w:tcPr>
            <w:tcW w:w="1128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9D6A122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  <w:t>+ 19 %</w:t>
            </w:r>
          </w:p>
        </w:tc>
        <w:tc>
          <w:tcPr>
            <w:tcW w:w="1423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9F0842C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68.000</w:t>
            </w:r>
          </w:p>
        </w:tc>
        <w:tc>
          <w:tcPr>
            <w:tcW w:w="1276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B0B5856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  <w:t>+ 11 %</w:t>
            </w:r>
          </w:p>
        </w:tc>
      </w:tr>
      <w:tr w:rsidR="00511D3F" w:rsidRPr="002974C4" w14:paraId="43C60E8E" w14:textId="77777777" w:rsidTr="006A3398">
        <w:trPr>
          <w:trHeight w:val="285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9DED239" w14:textId="77777777" w:rsidR="00511D3F" w:rsidRPr="002974C4" w:rsidRDefault="00511D3F" w:rsidP="00511D3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Frankreich, Monaco</w:t>
            </w:r>
          </w:p>
        </w:tc>
        <w:tc>
          <w:tcPr>
            <w:tcW w:w="156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433AC3A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240.000</w:t>
            </w:r>
          </w:p>
        </w:tc>
        <w:tc>
          <w:tcPr>
            <w:tcW w:w="1128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D62E68A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  <w:t>+ 14 %</w:t>
            </w:r>
          </w:p>
        </w:tc>
        <w:tc>
          <w:tcPr>
            <w:tcW w:w="1423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633222F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41.000</w:t>
            </w:r>
          </w:p>
        </w:tc>
        <w:tc>
          <w:tcPr>
            <w:tcW w:w="1276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2B34E0C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  <w:t>+ 10 %</w:t>
            </w:r>
          </w:p>
        </w:tc>
      </w:tr>
      <w:tr w:rsidR="00511D3F" w:rsidRPr="002974C4" w14:paraId="1C6CFF12" w14:textId="77777777" w:rsidTr="006A3398">
        <w:trPr>
          <w:trHeight w:val="285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0294284" w14:textId="77777777" w:rsidR="00511D3F" w:rsidRPr="002974C4" w:rsidRDefault="00511D3F" w:rsidP="00511D3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Spanien</w:t>
            </w:r>
          </w:p>
        </w:tc>
        <w:tc>
          <w:tcPr>
            <w:tcW w:w="156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9E98F21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231.000</w:t>
            </w:r>
          </w:p>
        </w:tc>
        <w:tc>
          <w:tcPr>
            <w:tcW w:w="1128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024C246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  <w:t>+ 11 %</w:t>
            </w:r>
          </w:p>
        </w:tc>
        <w:tc>
          <w:tcPr>
            <w:tcW w:w="1423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D3DD6BD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38.000</w:t>
            </w:r>
          </w:p>
        </w:tc>
        <w:tc>
          <w:tcPr>
            <w:tcW w:w="1276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863EC4D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  <w:t>+ 10 %</w:t>
            </w:r>
          </w:p>
        </w:tc>
      </w:tr>
      <w:tr w:rsidR="00511D3F" w:rsidRPr="002974C4" w14:paraId="48FDDFCD" w14:textId="77777777" w:rsidTr="006A3398">
        <w:trPr>
          <w:trHeight w:val="285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C8218C1" w14:textId="77777777" w:rsidR="00511D3F" w:rsidRPr="002974C4" w:rsidRDefault="00511D3F" w:rsidP="00511D3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Polen</w:t>
            </w:r>
          </w:p>
        </w:tc>
        <w:tc>
          <w:tcPr>
            <w:tcW w:w="156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5FC54F7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210.000</w:t>
            </w:r>
          </w:p>
        </w:tc>
        <w:tc>
          <w:tcPr>
            <w:tcW w:w="1128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C54720D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  <w:t>+ 13 %</w:t>
            </w:r>
          </w:p>
        </w:tc>
        <w:tc>
          <w:tcPr>
            <w:tcW w:w="1423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EA85342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40.000</w:t>
            </w:r>
          </w:p>
        </w:tc>
        <w:tc>
          <w:tcPr>
            <w:tcW w:w="1276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A8EF29B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  <w:t>+ 5 %</w:t>
            </w:r>
          </w:p>
        </w:tc>
      </w:tr>
      <w:tr w:rsidR="00511D3F" w:rsidRPr="002974C4" w14:paraId="4509BB67" w14:textId="77777777" w:rsidTr="006A3398">
        <w:trPr>
          <w:trHeight w:val="285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E7F9DDA" w14:textId="77777777" w:rsidR="00511D3F" w:rsidRPr="002974C4" w:rsidRDefault="00511D3F" w:rsidP="00511D3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Schweiz, Liechtenstein</w:t>
            </w:r>
          </w:p>
        </w:tc>
        <w:tc>
          <w:tcPr>
            <w:tcW w:w="156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0D7A0FF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200.000</w:t>
            </w:r>
          </w:p>
        </w:tc>
        <w:tc>
          <w:tcPr>
            <w:tcW w:w="1128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B480039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  <w:t>+ 11 %</w:t>
            </w:r>
          </w:p>
        </w:tc>
        <w:tc>
          <w:tcPr>
            <w:tcW w:w="1423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43D5D47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38.000</w:t>
            </w:r>
          </w:p>
        </w:tc>
        <w:tc>
          <w:tcPr>
            <w:tcW w:w="1276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1304D13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  <w:t>+ 16 %</w:t>
            </w:r>
          </w:p>
        </w:tc>
      </w:tr>
      <w:tr w:rsidR="00511D3F" w:rsidRPr="002974C4" w14:paraId="62F60E28" w14:textId="77777777" w:rsidTr="006A3398">
        <w:trPr>
          <w:trHeight w:val="248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1672EAB" w14:textId="77777777" w:rsidR="00511D3F" w:rsidRPr="002974C4" w:rsidRDefault="00511D3F" w:rsidP="00511D3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Rumänien</w:t>
            </w:r>
          </w:p>
        </w:tc>
        <w:tc>
          <w:tcPr>
            <w:tcW w:w="156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E761E35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141.000</w:t>
            </w:r>
          </w:p>
        </w:tc>
        <w:tc>
          <w:tcPr>
            <w:tcW w:w="1128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47180B0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  <w:t>+ 1 %</w:t>
            </w:r>
          </w:p>
        </w:tc>
        <w:tc>
          <w:tcPr>
            <w:tcW w:w="1423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162CAEF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26.000</w:t>
            </w:r>
          </w:p>
        </w:tc>
        <w:tc>
          <w:tcPr>
            <w:tcW w:w="1276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6101B59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  <w:t>- 17 %</w:t>
            </w:r>
          </w:p>
        </w:tc>
      </w:tr>
      <w:tr w:rsidR="00511D3F" w:rsidRPr="002974C4" w14:paraId="47A51557" w14:textId="77777777" w:rsidTr="006A3398">
        <w:trPr>
          <w:trHeight w:val="285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489F2DE" w14:textId="77777777" w:rsidR="00511D3F" w:rsidRPr="002974C4" w:rsidRDefault="00511D3F" w:rsidP="00511D3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Übrige</w:t>
            </w:r>
          </w:p>
        </w:tc>
        <w:tc>
          <w:tcPr>
            <w:tcW w:w="156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B36FC6D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2.731.000</w:t>
            </w:r>
          </w:p>
        </w:tc>
        <w:tc>
          <w:tcPr>
            <w:tcW w:w="1128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77EA9E7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</w:p>
        </w:tc>
        <w:tc>
          <w:tcPr>
            <w:tcW w:w="1423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148E79F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564.000</w:t>
            </w:r>
          </w:p>
        </w:tc>
        <w:tc>
          <w:tcPr>
            <w:tcW w:w="1276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4EA9D65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</w:p>
        </w:tc>
      </w:tr>
      <w:tr w:rsidR="00511D3F" w:rsidRPr="002974C4" w14:paraId="7131731D" w14:textId="77777777" w:rsidTr="006A3398">
        <w:trPr>
          <w:trHeight w:val="285"/>
        </w:trPr>
        <w:tc>
          <w:tcPr>
            <w:tcW w:w="290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33088CB" w14:textId="77777777" w:rsidR="00511D3F" w:rsidRPr="002974C4" w:rsidRDefault="00511D3F" w:rsidP="00511D3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Gesamtergebnis</w:t>
            </w:r>
          </w:p>
        </w:tc>
        <w:tc>
          <w:tcPr>
            <w:tcW w:w="156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7FC9396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8.260.000</w:t>
            </w:r>
          </w:p>
        </w:tc>
        <w:tc>
          <w:tcPr>
            <w:tcW w:w="1128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FB6B20A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  <w:t>+ 10 %</w:t>
            </w:r>
          </w:p>
        </w:tc>
        <w:tc>
          <w:tcPr>
            <w:tcW w:w="1423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ED90D97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1.623.000</w:t>
            </w:r>
          </w:p>
        </w:tc>
        <w:tc>
          <w:tcPr>
            <w:tcW w:w="1276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7EB192B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  <w:t>+ 6 %</w:t>
            </w:r>
          </w:p>
        </w:tc>
      </w:tr>
      <w:tr w:rsidR="00511D3F" w:rsidRPr="002974C4" w14:paraId="21EB6DCE" w14:textId="77777777" w:rsidTr="006A3398">
        <w:trPr>
          <w:trHeight w:val="321"/>
        </w:trPr>
        <w:tc>
          <w:tcPr>
            <w:tcW w:w="8287" w:type="dxa"/>
            <w:gridSpan w:val="5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</w:tcPr>
          <w:p w14:paraId="111A2057" w14:textId="77777777" w:rsidR="00511D3F" w:rsidRPr="002974C4" w:rsidRDefault="00511D3F" w:rsidP="00511D3F">
            <w:pPr>
              <w:spacing w:line="276" w:lineRule="auto"/>
              <w:rPr>
                <w:rFonts w:ascii="Arial" w:eastAsia="Times New Roman" w:hAnsi="Arial" w:cs="Arial"/>
                <w:bCs/>
                <w:sz w:val="14"/>
                <w:szCs w:val="16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bCs/>
                <w:sz w:val="14"/>
                <w:szCs w:val="16"/>
                <w:lang w:val="de-DE" w:eastAsia="zh-CN" w:bidi="th-TH"/>
              </w:rPr>
              <w:t xml:space="preserve">1) Nächtigungen sind nicht Gäste, sondern die von diesen absolvierten Übernachtungen. </w:t>
            </w:r>
          </w:p>
          <w:p w14:paraId="32576660" w14:textId="77777777" w:rsidR="00511D3F" w:rsidRPr="002974C4" w:rsidRDefault="00511D3F" w:rsidP="00511D3F">
            <w:pPr>
              <w:spacing w:line="276" w:lineRule="auto"/>
              <w:rPr>
                <w:rFonts w:ascii="Arial" w:eastAsia="Times New Roman" w:hAnsi="Arial" w:cs="Arial"/>
                <w:bCs/>
                <w:sz w:val="14"/>
                <w:szCs w:val="16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bCs/>
                <w:sz w:val="14"/>
                <w:szCs w:val="16"/>
                <w:lang w:val="de-DE" w:eastAsia="zh-CN" w:bidi="th-TH"/>
              </w:rPr>
              <w:t>Bei den Daten für Juni handelt es sich um vorläufige Daten.</w:t>
            </w:r>
          </w:p>
          <w:p w14:paraId="5DFF3043" w14:textId="77777777" w:rsidR="00511D3F" w:rsidRPr="002974C4" w:rsidRDefault="00511D3F" w:rsidP="00511D3F">
            <w:pPr>
              <w:spacing w:line="276" w:lineRule="auto"/>
              <w:rPr>
                <w:rFonts w:ascii="Arial" w:eastAsia="Times New Roman" w:hAnsi="Arial" w:cs="Arial"/>
                <w:bCs/>
                <w:sz w:val="14"/>
                <w:szCs w:val="16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b/>
                <w:bCs/>
                <w:sz w:val="14"/>
                <w:szCs w:val="16"/>
                <w:lang w:val="de-DE" w:eastAsia="zh-CN" w:bidi="th-TH"/>
              </w:rPr>
              <w:t>Datenquelle:</w:t>
            </w:r>
            <w:r w:rsidRPr="002974C4">
              <w:rPr>
                <w:rFonts w:ascii="Arial" w:eastAsia="Times New Roman" w:hAnsi="Arial" w:cs="Arial"/>
                <w:sz w:val="14"/>
                <w:szCs w:val="16"/>
                <w:lang w:val="de-DE" w:eastAsia="zh-CN" w:bidi="th-TH"/>
              </w:rPr>
              <w:t xml:space="preserve"> MA 23 – Dezernat Statistik</w:t>
            </w:r>
          </w:p>
        </w:tc>
      </w:tr>
    </w:tbl>
    <w:p w14:paraId="5FE04E27" w14:textId="77777777" w:rsidR="00511D3F" w:rsidRPr="002974C4" w:rsidRDefault="00511D3F" w:rsidP="00511D3F">
      <w:pPr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  <w:lang w:val="de-DE" w:eastAsia="zh-CN" w:bidi="th-TH"/>
        </w:rPr>
      </w:pPr>
    </w:p>
    <w:p w14:paraId="3B231199" w14:textId="77777777" w:rsidR="00511D3F" w:rsidRPr="002974C4" w:rsidRDefault="00511D3F" w:rsidP="00511D3F">
      <w:pPr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  <w:lang w:val="de-DE" w:eastAsia="zh-CN" w:bidi="th-TH"/>
        </w:rPr>
      </w:pPr>
    </w:p>
    <w:p w14:paraId="4B66F5D8" w14:textId="77777777" w:rsidR="00511D3F" w:rsidRPr="002974C4" w:rsidRDefault="00511D3F" w:rsidP="00511D3F">
      <w:pPr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  <w:lang w:val="de-DE" w:eastAsia="zh-CN" w:bidi="th-TH"/>
        </w:rPr>
      </w:pPr>
    </w:p>
    <w:p w14:paraId="47F24273" w14:textId="77777777" w:rsidR="00511D3F" w:rsidRPr="002974C4" w:rsidRDefault="00511D3F" w:rsidP="00511D3F">
      <w:pPr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  <w:lang w:val="de-DE" w:eastAsia="zh-CN" w:bidi="th-TH"/>
        </w:rPr>
      </w:pPr>
    </w:p>
    <w:p w14:paraId="33EC0D98" w14:textId="77777777" w:rsidR="00511D3F" w:rsidRPr="002974C4" w:rsidRDefault="00511D3F" w:rsidP="00511D3F">
      <w:pPr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  <w:lang w:val="de-DE" w:eastAsia="zh-CN" w:bidi="th-TH"/>
        </w:rPr>
      </w:pPr>
    </w:p>
    <w:p w14:paraId="01D25591" w14:textId="77777777" w:rsidR="00511D3F" w:rsidRPr="002974C4" w:rsidRDefault="00511D3F" w:rsidP="00511D3F">
      <w:pPr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  <w:lang w:val="de-DE" w:eastAsia="zh-CN" w:bidi="th-TH"/>
        </w:rPr>
      </w:pPr>
    </w:p>
    <w:p w14:paraId="7D294AE1" w14:textId="77777777" w:rsidR="00511D3F" w:rsidRPr="002974C4" w:rsidRDefault="00511D3F" w:rsidP="00511D3F">
      <w:pPr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  <w:lang w:val="de-DE" w:eastAsia="zh-CN" w:bidi="th-TH"/>
        </w:rPr>
      </w:pPr>
    </w:p>
    <w:p w14:paraId="342A8437" w14:textId="77777777" w:rsidR="00511D3F" w:rsidRPr="002974C4" w:rsidRDefault="00511D3F" w:rsidP="00511D3F">
      <w:pPr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  <w:lang w:val="de-DE" w:eastAsia="zh-CN" w:bidi="th-TH"/>
        </w:rPr>
      </w:pPr>
    </w:p>
    <w:p w14:paraId="5E1F00BB" w14:textId="77777777" w:rsidR="00511D3F" w:rsidRPr="002974C4" w:rsidRDefault="00511D3F" w:rsidP="00511D3F">
      <w:pPr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  <w:lang w:val="de-DE" w:eastAsia="zh-CN" w:bidi="th-TH"/>
        </w:rPr>
      </w:pPr>
    </w:p>
    <w:p w14:paraId="666BDC19" w14:textId="77777777" w:rsidR="00511D3F" w:rsidRPr="002974C4" w:rsidRDefault="00511D3F" w:rsidP="00511D3F">
      <w:pPr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  <w:lang w:val="de-DE" w:eastAsia="zh-CN" w:bidi="th-TH"/>
        </w:rPr>
      </w:pPr>
    </w:p>
    <w:p w14:paraId="52E7A6F0" w14:textId="77777777" w:rsidR="00511D3F" w:rsidRPr="002974C4" w:rsidRDefault="00511D3F" w:rsidP="00511D3F">
      <w:pPr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  <w:lang w:val="de-DE" w:eastAsia="zh-CN" w:bidi="th-TH"/>
        </w:rPr>
      </w:pPr>
    </w:p>
    <w:p w14:paraId="1BFC28B2" w14:textId="77777777" w:rsidR="00511D3F" w:rsidRPr="002974C4" w:rsidRDefault="00511D3F" w:rsidP="00511D3F">
      <w:pPr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  <w:lang w:val="de-DE" w:eastAsia="zh-CN" w:bidi="th-TH"/>
        </w:rPr>
      </w:pPr>
    </w:p>
    <w:p w14:paraId="33B1F088" w14:textId="77777777" w:rsidR="00511D3F" w:rsidRPr="002974C4" w:rsidRDefault="00511D3F" w:rsidP="00511D3F">
      <w:pPr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  <w:lang w:val="de-DE" w:eastAsia="zh-CN" w:bidi="th-TH"/>
        </w:rPr>
      </w:pPr>
    </w:p>
    <w:p w14:paraId="4C657044" w14:textId="77777777" w:rsidR="00511D3F" w:rsidRPr="002974C4" w:rsidRDefault="00511D3F" w:rsidP="00511D3F">
      <w:pPr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  <w:lang w:val="de-DE" w:eastAsia="zh-CN" w:bidi="th-TH"/>
        </w:rPr>
      </w:pPr>
    </w:p>
    <w:p w14:paraId="6A90B8E4" w14:textId="77777777" w:rsidR="00511D3F" w:rsidRPr="002974C4" w:rsidRDefault="00511D3F" w:rsidP="00511D3F">
      <w:pPr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  <w:lang w:val="de-DE" w:eastAsia="zh-CN" w:bidi="th-TH"/>
        </w:rPr>
      </w:pPr>
    </w:p>
    <w:p w14:paraId="4D11FB03" w14:textId="77777777" w:rsidR="00511D3F" w:rsidRPr="002974C4" w:rsidRDefault="00511D3F" w:rsidP="00511D3F">
      <w:pPr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  <w:lang w:val="de-DE" w:eastAsia="zh-CN" w:bidi="th-TH"/>
        </w:rPr>
      </w:pPr>
    </w:p>
    <w:p w14:paraId="45D7896A" w14:textId="77777777" w:rsidR="00511D3F" w:rsidRPr="002974C4" w:rsidRDefault="00511D3F" w:rsidP="00511D3F">
      <w:pPr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  <w:lang w:val="de-DE" w:eastAsia="zh-CN" w:bidi="th-TH"/>
        </w:rPr>
      </w:pPr>
    </w:p>
    <w:p w14:paraId="78BF93DA" w14:textId="77777777" w:rsidR="00511D3F" w:rsidRPr="002974C4" w:rsidRDefault="00511D3F" w:rsidP="00511D3F">
      <w:pPr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  <w:lang w:val="de-DE" w:eastAsia="zh-CN" w:bidi="th-TH"/>
        </w:rPr>
      </w:pPr>
    </w:p>
    <w:p w14:paraId="6898050F" w14:textId="77777777" w:rsidR="00511D3F" w:rsidRPr="002974C4" w:rsidRDefault="00511D3F" w:rsidP="00511D3F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de-DE" w:eastAsia="zh-CN" w:bidi="th-TH"/>
        </w:rPr>
      </w:pPr>
    </w:p>
    <w:tbl>
      <w:tblPr>
        <w:tblW w:w="8095" w:type="dxa"/>
        <w:tblInd w:w="50" w:type="dxa"/>
        <w:tblBorders>
          <w:top w:val="single" w:sz="4" w:space="0" w:color="E52236"/>
          <w:left w:val="single" w:sz="4" w:space="0" w:color="E52236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945"/>
        <w:gridCol w:w="1465"/>
        <w:gridCol w:w="1180"/>
        <w:gridCol w:w="1371"/>
        <w:gridCol w:w="1134"/>
      </w:tblGrid>
      <w:tr w:rsidR="00511D3F" w:rsidRPr="002974C4" w14:paraId="76823774" w14:textId="77777777" w:rsidTr="006A3398">
        <w:trPr>
          <w:trHeight w:val="270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5F78C4B" w14:textId="77777777" w:rsidR="00511D3F" w:rsidRPr="002974C4" w:rsidRDefault="00511D3F" w:rsidP="00511D3F">
            <w:pP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zh-CN" w:bidi="th-TH"/>
              </w:rPr>
            </w:pPr>
            <w:r w:rsidRPr="002974C4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val="de-DE" w:eastAsia="zh-CN" w:bidi="th-TH"/>
              </w:rPr>
              <w:t>Herkunftsland</w:t>
            </w:r>
          </w:p>
        </w:tc>
        <w:tc>
          <w:tcPr>
            <w:tcW w:w="2645" w:type="dxa"/>
            <w:gridSpan w:val="2"/>
            <w:tcBorders>
              <w:top w:val="single" w:sz="4" w:space="0" w:color="E52236"/>
              <w:lef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4CDED64" w14:textId="77777777" w:rsidR="00511D3F" w:rsidRPr="002974C4" w:rsidRDefault="00511D3F" w:rsidP="00511D3F">
            <w:pPr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zh-CN" w:bidi="th-TH"/>
              </w:rPr>
            </w:pPr>
            <w:r w:rsidRPr="002974C4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val="de-DE" w:eastAsia="zh-CN" w:bidi="th-TH"/>
              </w:rPr>
              <w:t>Nächtigungsumsatz in € netto</w:t>
            </w:r>
            <w:r w:rsidRPr="002974C4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vertAlign w:val="superscript"/>
                <w:lang w:val="de-DE" w:eastAsia="zh-CN" w:bidi="th-TH"/>
              </w:rPr>
              <w:t>2)</w:t>
            </w:r>
          </w:p>
        </w:tc>
        <w:tc>
          <w:tcPr>
            <w:tcW w:w="2505" w:type="dxa"/>
            <w:gridSpan w:val="2"/>
            <w:tcBorders>
              <w:top w:val="single" w:sz="4" w:space="0" w:color="E52236"/>
              <w:left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B18EE7F" w14:textId="77777777" w:rsidR="00511D3F" w:rsidRPr="002974C4" w:rsidRDefault="00511D3F" w:rsidP="00511D3F">
            <w:pPr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zh-CN" w:bidi="th-TH"/>
              </w:rPr>
            </w:pPr>
          </w:p>
        </w:tc>
      </w:tr>
      <w:tr w:rsidR="00511D3F" w:rsidRPr="002974C4" w14:paraId="01B97988" w14:textId="77777777" w:rsidTr="006A3398">
        <w:trPr>
          <w:trHeight w:val="285"/>
        </w:trPr>
        <w:tc>
          <w:tcPr>
            <w:tcW w:w="2945" w:type="dxa"/>
            <w:tcBorders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C965B9E" w14:textId="77777777" w:rsidR="00511D3F" w:rsidRPr="002974C4" w:rsidRDefault="00511D3F" w:rsidP="00511D3F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zh-CN" w:bidi="th-TH"/>
              </w:rPr>
            </w:pPr>
            <w:r w:rsidRPr="002974C4"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  <w:t> </w:t>
            </w:r>
          </w:p>
        </w:tc>
        <w:tc>
          <w:tcPr>
            <w:tcW w:w="2645" w:type="dxa"/>
            <w:gridSpan w:val="2"/>
            <w:tcBorders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F45AD9E" w14:textId="77777777" w:rsidR="00511D3F" w:rsidRPr="002974C4" w:rsidRDefault="00511D3F" w:rsidP="00511D3F">
            <w:pPr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974C4">
              <w:rPr>
                <w:rFonts w:ascii="Arial" w:eastAsia="Times New Roman" w:hAnsi="Arial" w:cs="Arial"/>
                <w:color w:val="000000"/>
                <w:lang w:val="de-DE" w:eastAsia="zh-CN" w:bidi="th-TH"/>
              </w:rPr>
              <w:t>Jänner-Mai 2024</w:t>
            </w:r>
          </w:p>
        </w:tc>
        <w:tc>
          <w:tcPr>
            <w:tcW w:w="2505" w:type="dxa"/>
            <w:gridSpan w:val="2"/>
            <w:tcBorders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F224B8F" w14:textId="77777777" w:rsidR="00511D3F" w:rsidRPr="002974C4" w:rsidRDefault="00511D3F" w:rsidP="00511D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lang w:val="de-DE" w:eastAsia="zh-CN" w:bidi="th-TH"/>
              </w:rPr>
              <w:t>Mai 2024</w:t>
            </w:r>
          </w:p>
        </w:tc>
      </w:tr>
      <w:tr w:rsidR="00511D3F" w:rsidRPr="002974C4" w14:paraId="4B1F78AA" w14:textId="77777777" w:rsidTr="006A3398">
        <w:trPr>
          <w:trHeight w:val="285"/>
        </w:trPr>
        <w:tc>
          <w:tcPr>
            <w:tcW w:w="2945" w:type="dxa"/>
            <w:tcBorders>
              <w:top w:val="single" w:sz="4" w:space="0" w:color="FF00FF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377FBF2" w14:textId="77777777" w:rsidR="00511D3F" w:rsidRPr="002974C4" w:rsidRDefault="00511D3F" w:rsidP="00511D3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Deutschland</w:t>
            </w:r>
          </w:p>
        </w:tc>
        <w:tc>
          <w:tcPr>
            <w:tcW w:w="1465" w:type="dxa"/>
            <w:tcBorders>
              <w:top w:val="single" w:sz="4" w:space="0" w:color="FF00FF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D094CD4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84.157.000</w:t>
            </w:r>
          </w:p>
        </w:tc>
        <w:tc>
          <w:tcPr>
            <w:tcW w:w="1180" w:type="dxa"/>
            <w:tcBorders>
              <w:top w:val="single" w:sz="4" w:space="0" w:color="FF00FF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8D550A9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  <w:t>+ 12 %</w:t>
            </w:r>
          </w:p>
        </w:tc>
        <w:tc>
          <w:tcPr>
            <w:tcW w:w="1371" w:type="dxa"/>
            <w:tcBorders>
              <w:top w:val="single" w:sz="4" w:space="0" w:color="FF00FF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A842FBF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27.462.000</w:t>
            </w:r>
          </w:p>
        </w:tc>
        <w:tc>
          <w:tcPr>
            <w:tcW w:w="1134" w:type="dxa"/>
            <w:tcBorders>
              <w:top w:val="single" w:sz="4" w:space="0" w:color="FF00FF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C288FBF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  <w:t>+ 28 %</w:t>
            </w:r>
          </w:p>
        </w:tc>
      </w:tr>
      <w:tr w:rsidR="00511D3F" w:rsidRPr="002974C4" w14:paraId="4B6A538D" w14:textId="77777777" w:rsidTr="006A3398">
        <w:trPr>
          <w:trHeight w:val="285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164E947" w14:textId="77777777" w:rsidR="00511D3F" w:rsidRPr="002974C4" w:rsidRDefault="00511D3F" w:rsidP="00511D3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Österreich</w:t>
            </w:r>
          </w:p>
        </w:tc>
        <w:tc>
          <w:tcPr>
            <w:tcW w:w="146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7560243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83.520.000</w:t>
            </w:r>
          </w:p>
        </w:tc>
        <w:tc>
          <w:tcPr>
            <w:tcW w:w="118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9A1AA64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  <w:t>+ 13 %</w:t>
            </w:r>
          </w:p>
        </w:tc>
        <w:tc>
          <w:tcPr>
            <w:tcW w:w="1371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A12A74D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22.370.000</w:t>
            </w:r>
          </w:p>
        </w:tc>
        <w:tc>
          <w:tcPr>
            <w:tcW w:w="1134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8A9212B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  <w:t>+ 16 %</w:t>
            </w:r>
          </w:p>
        </w:tc>
      </w:tr>
      <w:tr w:rsidR="00511D3F" w:rsidRPr="002974C4" w14:paraId="39611E22" w14:textId="77777777" w:rsidTr="006A3398">
        <w:trPr>
          <w:trHeight w:val="285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9141566" w14:textId="77777777" w:rsidR="00511D3F" w:rsidRPr="002974C4" w:rsidRDefault="00511D3F" w:rsidP="00511D3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USA</w:t>
            </w:r>
          </w:p>
        </w:tc>
        <w:tc>
          <w:tcPr>
            <w:tcW w:w="146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285C758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30.068.000</w:t>
            </w:r>
          </w:p>
        </w:tc>
        <w:tc>
          <w:tcPr>
            <w:tcW w:w="118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13D33EB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  <w:t>+ 19 %</w:t>
            </w:r>
          </w:p>
        </w:tc>
        <w:tc>
          <w:tcPr>
            <w:tcW w:w="1371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3FD73A6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10.952.000</w:t>
            </w:r>
          </w:p>
        </w:tc>
        <w:tc>
          <w:tcPr>
            <w:tcW w:w="1134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D4A6067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  <w:t>+ 32 %</w:t>
            </w:r>
          </w:p>
        </w:tc>
      </w:tr>
      <w:tr w:rsidR="00511D3F" w:rsidRPr="002974C4" w14:paraId="7DC95A34" w14:textId="77777777" w:rsidTr="006A3398">
        <w:trPr>
          <w:trHeight w:val="285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DCDBDE4" w14:textId="77777777" w:rsidR="00511D3F" w:rsidRPr="002974C4" w:rsidRDefault="00511D3F" w:rsidP="00511D3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Italien</w:t>
            </w:r>
          </w:p>
        </w:tc>
        <w:tc>
          <w:tcPr>
            <w:tcW w:w="146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8FAAEDE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23.221.000</w:t>
            </w:r>
          </w:p>
        </w:tc>
        <w:tc>
          <w:tcPr>
            <w:tcW w:w="118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41348BA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  <w:t>+ 20 %</w:t>
            </w:r>
          </w:p>
        </w:tc>
        <w:tc>
          <w:tcPr>
            <w:tcW w:w="1371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2D9C562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4.168.000</w:t>
            </w:r>
          </w:p>
        </w:tc>
        <w:tc>
          <w:tcPr>
            <w:tcW w:w="1134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7763B30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  <w:t>+ 32 %</w:t>
            </w:r>
          </w:p>
        </w:tc>
      </w:tr>
      <w:tr w:rsidR="00511D3F" w:rsidRPr="002974C4" w14:paraId="094D15D0" w14:textId="77777777" w:rsidTr="006A3398">
        <w:trPr>
          <w:trHeight w:val="285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0967ED1" w14:textId="77777777" w:rsidR="00511D3F" w:rsidRPr="002974C4" w:rsidRDefault="00511D3F" w:rsidP="00511D3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Großbritannien, Nordirland</w:t>
            </w:r>
          </w:p>
        </w:tc>
        <w:tc>
          <w:tcPr>
            <w:tcW w:w="146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88BF092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19.879.000</w:t>
            </w:r>
          </w:p>
        </w:tc>
        <w:tc>
          <w:tcPr>
            <w:tcW w:w="118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B98BFF2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  <w:t>+ 20 %</w:t>
            </w:r>
          </w:p>
        </w:tc>
        <w:tc>
          <w:tcPr>
            <w:tcW w:w="1371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E087584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5.225.000</w:t>
            </w:r>
          </w:p>
        </w:tc>
        <w:tc>
          <w:tcPr>
            <w:tcW w:w="1134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591112F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  <w:t>+ 23 %</w:t>
            </w:r>
          </w:p>
        </w:tc>
      </w:tr>
      <w:tr w:rsidR="00511D3F" w:rsidRPr="002974C4" w14:paraId="7CFD4054" w14:textId="77777777" w:rsidTr="006A3398">
        <w:trPr>
          <w:trHeight w:val="285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D4A88F4" w14:textId="77777777" w:rsidR="00511D3F" w:rsidRPr="002974C4" w:rsidRDefault="00511D3F" w:rsidP="00511D3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Frankreich, Monaco</w:t>
            </w:r>
          </w:p>
        </w:tc>
        <w:tc>
          <w:tcPr>
            <w:tcW w:w="146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F74E1EA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13.406.000</w:t>
            </w:r>
          </w:p>
        </w:tc>
        <w:tc>
          <w:tcPr>
            <w:tcW w:w="118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20BAFCB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  <w:t>+ 16 %</w:t>
            </w:r>
          </w:p>
        </w:tc>
        <w:tc>
          <w:tcPr>
            <w:tcW w:w="1371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563B3CC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3.938.000</w:t>
            </w:r>
          </w:p>
        </w:tc>
        <w:tc>
          <w:tcPr>
            <w:tcW w:w="1134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CF563AA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  <w:t>+ 29 %</w:t>
            </w:r>
          </w:p>
        </w:tc>
      </w:tr>
      <w:tr w:rsidR="00511D3F" w:rsidRPr="002974C4" w14:paraId="032EA38D" w14:textId="77777777" w:rsidTr="006A3398">
        <w:trPr>
          <w:trHeight w:val="285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A99D2F9" w14:textId="77777777" w:rsidR="00511D3F" w:rsidRPr="002974C4" w:rsidRDefault="00511D3F" w:rsidP="00511D3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Spanien</w:t>
            </w:r>
          </w:p>
        </w:tc>
        <w:tc>
          <w:tcPr>
            <w:tcW w:w="146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A3F690F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12.181.000</w:t>
            </w:r>
          </w:p>
        </w:tc>
        <w:tc>
          <w:tcPr>
            <w:tcW w:w="118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DAE2CAF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  <w:t>+ 11 %</w:t>
            </w:r>
          </w:p>
        </w:tc>
        <w:tc>
          <w:tcPr>
            <w:tcW w:w="1371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DF4ECF2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2.638.000</w:t>
            </w:r>
          </w:p>
        </w:tc>
        <w:tc>
          <w:tcPr>
            <w:tcW w:w="1134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832E2AB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  <w:t>+ 17 %</w:t>
            </w:r>
          </w:p>
        </w:tc>
      </w:tr>
      <w:tr w:rsidR="00511D3F" w:rsidRPr="002974C4" w14:paraId="2FCB6963" w14:textId="77777777" w:rsidTr="006A3398">
        <w:trPr>
          <w:trHeight w:val="285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F44FB24" w14:textId="77777777" w:rsidR="00511D3F" w:rsidRPr="002974C4" w:rsidRDefault="00511D3F" w:rsidP="00511D3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Schweiz, Liechtenstein</w:t>
            </w:r>
          </w:p>
        </w:tc>
        <w:tc>
          <w:tcPr>
            <w:tcW w:w="146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4636049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11.791.000</w:t>
            </w:r>
          </w:p>
        </w:tc>
        <w:tc>
          <w:tcPr>
            <w:tcW w:w="118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3719095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  <w:t>+ 12 %</w:t>
            </w:r>
          </w:p>
        </w:tc>
        <w:tc>
          <w:tcPr>
            <w:tcW w:w="1371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6C48994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3.474.000</w:t>
            </w:r>
          </w:p>
        </w:tc>
        <w:tc>
          <w:tcPr>
            <w:tcW w:w="1134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CDEF0DF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  <w:t>+ 19 %</w:t>
            </w:r>
          </w:p>
        </w:tc>
      </w:tr>
      <w:tr w:rsidR="00511D3F" w:rsidRPr="002974C4" w14:paraId="037DB9E8" w14:textId="77777777" w:rsidTr="006A3398">
        <w:trPr>
          <w:trHeight w:val="285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996D4A8" w14:textId="77777777" w:rsidR="00511D3F" w:rsidRPr="002974C4" w:rsidRDefault="00511D3F" w:rsidP="00511D3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Polen</w:t>
            </w:r>
          </w:p>
        </w:tc>
        <w:tc>
          <w:tcPr>
            <w:tcW w:w="146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A68F4C5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10.205.000</w:t>
            </w:r>
          </w:p>
        </w:tc>
        <w:tc>
          <w:tcPr>
            <w:tcW w:w="118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4782E4D6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  <w:t>+ 18 %</w:t>
            </w:r>
          </w:p>
        </w:tc>
        <w:tc>
          <w:tcPr>
            <w:tcW w:w="1371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391B339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3.698.000</w:t>
            </w:r>
          </w:p>
        </w:tc>
        <w:tc>
          <w:tcPr>
            <w:tcW w:w="1134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7953E25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  <w:t>+ 45 %</w:t>
            </w:r>
          </w:p>
        </w:tc>
      </w:tr>
      <w:tr w:rsidR="00511D3F" w:rsidRPr="002974C4" w14:paraId="1846DC7E" w14:textId="77777777" w:rsidTr="006A3398">
        <w:trPr>
          <w:trHeight w:val="248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0951B00F" w14:textId="77777777" w:rsidR="00511D3F" w:rsidRPr="002974C4" w:rsidRDefault="00511D3F" w:rsidP="00511D3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Rumänien</w:t>
            </w:r>
          </w:p>
        </w:tc>
        <w:tc>
          <w:tcPr>
            <w:tcW w:w="146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DDBDA76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7.162.000</w:t>
            </w:r>
          </w:p>
        </w:tc>
        <w:tc>
          <w:tcPr>
            <w:tcW w:w="118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6589E63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  <w:t>+ 6 %</w:t>
            </w:r>
          </w:p>
        </w:tc>
        <w:tc>
          <w:tcPr>
            <w:tcW w:w="1371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0C0F44F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1.881.000</w:t>
            </w:r>
          </w:p>
        </w:tc>
        <w:tc>
          <w:tcPr>
            <w:tcW w:w="1134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5696B51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  <w:t>+ 36 %</w:t>
            </w:r>
          </w:p>
        </w:tc>
      </w:tr>
      <w:tr w:rsidR="00511D3F" w:rsidRPr="002974C4" w14:paraId="2E4DCB18" w14:textId="77777777" w:rsidTr="006A3398">
        <w:trPr>
          <w:trHeight w:val="285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1858DFC" w14:textId="77777777" w:rsidR="00511D3F" w:rsidRPr="002974C4" w:rsidRDefault="00511D3F" w:rsidP="00511D3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Übrige</w:t>
            </w:r>
          </w:p>
        </w:tc>
        <w:tc>
          <w:tcPr>
            <w:tcW w:w="1465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BA4EFF0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150.129.000</w:t>
            </w:r>
          </w:p>
        </w:tc>
        <w:tc>
          <w:tcPr>
            <w:tcW w:w="1180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1959989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</w:p>
        </w:tc>
        <w:tc>
          <w:tcPr>
            <w:tcW w:w="1371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3300453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41.350.000</w:t>
            </w:r>
          </w:p>
        </w:tc>
        <w:tc>
          <w:tcPr>
            <w:tcW w:w="1134" w:type="dxa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342298D4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</w:p>
        </w:tc>
      </w:tr>
      <w:tr w:rsidR="00511D3F" w:rsidRPr="002974C4" w14:paraId="180C1B76" w14:textId="77777777" w:rsidTr="006A3398">
        <w:trPr>
          <w:trHeight w:val="285"/>
        </w:trPr>
        <w:tc>
          <w:tcPr>
            <w:tcW w:w="2945" w:type="dxa"/>
            <w:tcBorders>
              <w:top w:val="single" w:sz="4" w:space="0" w:color="E52236"/>
              <w:left w:val="single" w:sz="4" w:space="0" w:color="E52236"/>
              <w:bottom w:val="single" w:sz="18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9751588" w14:textId="77777777" w:rsidR="00511D3F" w:rsidRPr="002974C4" w:rsidRDefault="00511D3F" w:rsidP="00511D3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Gesamtergebnis</w:t>
            </w:r>
          </w:p>
        </w:tc>
        <w:tc>
          <w:tcPr>
            <w:tcW w:w="1465" w:type="dxa"/>
            <w:tcBorders>
              <w:top w:val="single" w:sz="4" w:space="0" w:color="E52236"/>
              <w:left w:val="single" w:sz="4" w:space="0" w:color="E52236"/>
              <w:bottom w:val="single" w:sz="18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BC7FCFE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445.719.000</w:t>
            </w:r>
          </w:p>
        </w:tc>
        <w:tc>
          <w:tcPr>
            <w:tcW w:w="1180" w:type="dxa"/>
            <w:tcBorders>
              <w:top w:val="single" w:sz="4" w:space="0" w:color="E52236"/>
              <w:left w:val="single" w:sz="4" w:space="0" w:color="E52236"/>
              <w:bottom w:val="single" w:sz="18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241560B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  <w:t>+ 14 %</w:t>
            </w:r>
          </w:p>
        </w:tc>
        <w:tc>
          <w:tcPr>
            <w:tcW w:w="1371" w:type="dxa"/>
            <w:tcBorders>
              <w:top w:val="single" w:sz="4" w:space="0" w:color="E52236"/>
              <w:left w:val="single" w:sz="4" w:space="0" w:color="E52236"/>
              <w:bottom w:val="single" w:sz="18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7F8EBF8E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  <w:t>127.156.000</w:t>
            </w:r>
          </w:p>
        </w:tc>
        <w:tc>
          <w:tcPr>
            <w:tcW w:w="1134" w:type="dxa"/>
            <w:tcBorders>
              <w:top w:val="single" w:sz="4" w:space="0" w:color="E52236"/>
              <w:left w:val="single" w:sz="4" w:space="0" w:color="E52236"/>
              <w:bottom w:val="single" w:sz="18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257A971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  <w:t>+ 24 %</w:t>
            </w:r>
          </w:p>
        </w:tc>
      </w:tr>
      <w:tr w:rsidR="00511D3F" w:rsidRPr="002974C4" w14:paraId="085CF14D" w14:textId="77777777" w:rsidTr="006A3398">
        <w:trPr>
          <w:trHeight w:val="285"/>
        </w:trPr>
        <w:tc>
          <w:tcPr>
            <w:tcW w:w="2945" w:type="dxa"/>
            <w:tcBorders>
              <w:top w:val="single" w:sz="18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3863551" w14:textId="77777777" w:rsidR="00511D3F" w:rsidRPr="002974C4" w:rsidRDefault="00511D3F" w:rsidP="00511D3F">
            <w:pPr>
              <w:rPr>
                <w:rFonts w:ascii="Arial" w:eastAsia="Times New Roman" w:hAnsi="Arial" w:cs="Arial"/>
                <w:color w:val="00000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color w:val="000000"/>
                <w:lang w:val="de-DE" w:eastAsia="zh-CN" w:bidi="th-TH"/>
              </w:rPr>
              <w:t>RevPAR</w:t>
            </w:r>
            <w:r w:rsidRPr="002974C4">
              <w:rPr>
                <w:rFonts w:ascii="Arial" w:eastAsia="Times New Roman" w:hAnsi="Arial" w:cs="Arial"/>
                <w:color w:val="000000"/>
                <w:vertAlign w:val="superscript"/>
                <w:lang w:val="de-DE" w:eastAsia="zh-CN" w:bidi="th-TH"/>
              </w:rPr>
              <w:t>3)</w:t>
            </w:r>
            <w:r w:rsidRPr="002974C4">
              <w:rPr>
                <w:rFonts w:ascii="Arial" w:eastAsia="Times New Roman" w:hAnsi="Arial" w:cs="Arial"/>
                <w:color w:val="000000"/>
                <w:lang w:val="de-DE" w:eastAsia="zh-CN" w:bidi="th-TH"/>
              </w:rPr>
              <w:t xml:space="preserve"> in €</w:t>
            </w:r>
          </w:p>
        </w:tc>
        <w:tc>
          <w:tcPr>
            <w:tcW w:w="1465" w:type="dxa"/>
            <w:tcBorders>
              <w:top w:val="single" w:sz="18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6EB827C9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zh-CN" w:bidi="th-TH"/>
              </w:rPr>
              <w:t>69,0</w:t>
            </w:r>
          </w:p>
        </w:tc>
        <w:tc>
          <w:tcPr>
            <w:tcW w:w="1180" w:type="dxa"/>
            <w:tcBorders>
              <w:top w:val="single" w:sz="18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29DB2F2D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de-DE" w:eastAsia="zh-CN" w:bidi="th-TH"/>
              </w:rPr>
              <w:t>+ 7 %</w:t>
            </w:r>
          </w:p>
        </w:tc>
        <w:tc>
          <w:tcPr>
            <w:tcW w:w="1371" w:type="dxa"/>
            <w:tcBorders>
              <w:top w:val="single" w:sz="18" w:space="0" w:color="E52236"/>
              <w:left w:val="single" w:sz="4" w:space="0" w:color="E52236"/>
              <w:bottom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58AD8D37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zh-CN" w:bidi="th-TH"/>
              </w:rPr>
              <w:t>94,6</w:t>
            </w:r>
          </w:p>
        </w:tc>
        <w:tc>
          <w:tcPr>
            <w:tcW w:w="1134" w:type="dxa"/>
            <w:tcBorders>
              <w:top w:val="single" w:sz="18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  <w:vAlign w:val="bottom"/>
          </w:tcPr>
          <w:p w14:paraId="150F55D8" w14:textId="77777777" w:rsidR="00511D3F" w:rsidRPr="002974C4" w:rsidRDefault="00511D3F" w:rsidP="00511D3F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de-DE" w:eastAsia="zh-CN" w:bidi="th-TH"/>
              </w:rPr>
              <w:t>+ 15 %</w:t>
            </w:r>
          </w:p>
        </w:tc>
      </w:tr>
      <w:tr w:rsidR="00511D3F" w:rsidRPr="002974C4" w14:paraId="4F666205" w14:textId="77777777" w:rsidTr="006A3398">
        <w:trPr>
          <w:trHeight w:val="523"/>
        </w:trPr>
        <w:tc>
          <w:tcPr>
            <w:tcW w:w="8095" w:type="dxa"/>
            <w:gridSpan w:val="5"/>
            <w:tcBorders>
              <w:top w:val="single" w:sz="4" w:space="0" w:color="E52236"/>
              <w:left w:val="single" w:sz="4" w:space="0" w:color="E52236"/>
              <w:bottom w:val="single" w:sz="4" w:space="0" w:color="E52236"/>
              <w:right w:val="single" w:sz="4" w:space="0" w:color="E52236"/>
            </w:tcBorders>
            <w:shd w:val="clear" w:color="auto" w:fill="auto"/>
            <w:tcMar>
              <w:left w:w="65" w:type="dxa"/>
            </w:tcMar>
          </w:tcPr>
          <w:p w14:paraId="70A1C26E" w14:textId="77777777" w:rsidR="00511D3F" w:rsidRPr="002974C4" w:rsidRDefault="00511D3F" w:rsidP="00511D3F">
            <w:pPr>
              <w:spacing w:line="276" w:lineRule="auto"/>
              <w:rPr>
                <w:rFonts w:ascii="Arial" w:eastAsia="Times New Roman" w:hAnsi="Arial" w:cs="Arial"/>
                <w:bCs/>
                <w:sz w:val="14"/>
                <w:szCs w:val="16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bCs/>
                <w:sz w:val="14"/>
                <w:szCs w:val="16"/>
                <w:lang w:val="de-DE" w:eastAsia="zh-CN" w:bidi="th-TH"/>
              </w:rPr>
              <w:t xml:space="preserve">2) ohne Frühstück und Umsatzsteuer, Wert wird aus den monatlichen Erträgen der Ortstaxe hochgerechnet </w:t>
            </w:r>
          </w:p>
          <w:p w14:paraId="08ACDD4A" w14:textId="77777777" w:rsidR="00511D3F" w:rsidRPr="002974C4" w:rsidRDefault="00511D3F" w:rsidP="00511D3F">
            <w:pPr>
              <w:rPr>
                <w:rFonts w:ascii="Arial" w:eastAsia="Times New Roman" w:hAnsi="Arial" w:cs="Arial"/>
                <w:sz w:val="14"/>
                <w:szCs w:val="16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bCs/>
                <w:sz w:val="14"/>
                <w:szCs w:val="16"/>
                <w:lang w:val="de-DE" w:eastAsia="zh-CN" w:bidi="th-TH"/>
              </w:rPr>
              <w:t xml:space="preserve">3) RevPAR </w:t>
            </w:r>
            <w:r w:rsidRPr="002974C4">
              <w:rPr>
                <w:rFonts w:ascii="Arial" w:eastAsia="Times New Roman" w:hAnsi="Arial" w:cs="Arial"/>
                <w:sz w:val="14"/>
                <w:szCs w:val="16"/>
                <w:lang w:val="de-DE" w:eastAsia="zh-CN" w:bidi="th-TH"/>
              </w:rPr>
              <w:t xml:space="preserve">(revenue per available room) </w:t>
            </w:r>
            <w:r w:rsidRPr="002974C4">
              <w:rPr>
                <w:rFonts w:ascii="Arial" w:eastAsia="Times New Roman" w:hAnsi="Arial" w:cs="Arial"/>
                <w:bCs/>
                <w:sz w:val="14"/>
                <w:szCs w:val="16"/>
                <w:lang w:val="de-DE" w:eastAsia="zh-CN" w:bidi="th-TH"/>
              </w:rPr>
              <w:t xml:space="preserve">ist </w:t>
            </w:r>
            <w:r w:rsidRPr="002974C4">
              <w:rPr>
                <w:rFonts w:ascii="Arial" w:eastAsia="Times New Roman" w:hAnsi="Arial" w:cs="Arial"/>
                <w:sz w:val="14"/>
                <w:szCs w:val="16"/>
                <w:lang w:val="de-DE" w:eastAsia="zh-CN" w:bidi="th-TH"/>
              </w:rPr>
              <w:t>der Erlös pro verfügbarem Zimmer in Hotels &amp; Pensionen, ein Nettowert, der die Kennzahlen „durchschnittliche Zimmerbelegung“ und „durchschnittlicher Zimmerpreis“ vereint. Nicht zu verwechseln mit dem weit darüber liegenden Zimmerpreis.</w:t>
            </w:r>
          </w:p>
          <w:p w14:paraId="6AB225F0" w14:textId="77777777" w:rsidR="00511D3F" w:rsidRPr="002974C4" w:rsidRDefault="00511D3F" w:rsidP="00511D3F">
            <w:pPr>
              <w:rPr>
                <w:rFonts w:ascii="Arial" w:eastAsia="Times New Roman" w:hAnsi="Arial" w:cs="Arial"/>
                <w:sz w:val="14"/>
                <w:szCs w:val="16"/>
                <w:lang w:val="de-DE" w:eastAsia="zh-CN" w:bidi="th-TH"/>
              </w:rPr>
            </w:pPr>
            <w:r w:rsidRPr="002974C4">
              <w:rPr>
                <w:rFonts w:ascii="Arial" w:eastAsia="Times New Roman" w:hAnsi="Arial" w:cs="Arial"/>
                <w:b/>
                <w:bCs/>
                <w:sz w:val="14"/>
                <w:szCs w:val="16"/>
                <w:lang w:val="de-DE" w:eastAsia="zh-CN" w:bidi="th-TH"/>
              </w:rPr>
              <w:t>Datenquellen:</w:t>
            </w:r>
            <w:r w:rsidRPr="002974C4">
              <w:rPr>
                <w:rFonts w:ascii="Arial" w:eastAsia="Times New Roman" w:hAnsi="Arial" w:cs="Arial"/>
                <w:sz w:val="14"/>
                <w:szCs w:val="16"/>
                <w:lang w:val="de-DE" w:eastAsia="zh-CN" w:bidi="th-TH"/>
              </w:rPr>
              <w:t xml:space="preserve"> MA 23 – Dezernat Statistik und MA 6 – Rechnungs- und Abgabenwesen. Die Kennzahlen zum Nächtigungsumsatz stehen jeweils einen Monat nach den Nächtigungsergebnissen zur Verfügung.</w:t>
            </w:r>
          </w:p>
        </w:tc>
      </w:tr>
    </w:tbl>
    <w:p w14:paraId="25CB40FF" w14:textId="77777777" w:rsidR="00511D3F" w:rsidRPr="002974C4" w:rsidRDefault="00511D3F" w:rsidP="00511D3F">
      <w:pPr>
        <w:rPr>
          <w:rFonts w:ascii="Arial" w:eastAsia="Times New Roman" w:hAnsi="Arial" w:cs="Arial"/>
          <w:sz w:val="20"/>
          <w:szCs w:val="20"/>
          <w:lang w:val="de-DE" w:eastAsia="zh-CN" w:bidi="th-TH"/>
        </w:rPr>
      </w:pPr>
    </w:p>
    <w:p w14:paraId="09462B1E" w14:textId="77777777" w:rsidR="00A77867" w:rsidRPr="002974C4" w:rsidRDefault="00A77867" w:rsidP="00A77867">
      <w:pPr>
        <w:spacing w:line="276" w:lineRule="auto"/>
        <w:rPr>
          <w:rFonts w:asciiTheme="majorHAnsi" w:hAnsiTheme="majorHAnsi" w:cstheme="majorHAnsi"/>
          <w:sz w:val="21"/>
          <w:szCs w:val="21"/>
          <w:lang w:val="de-DE"/>
        </w:rPr>
      </w:pPr>
    </w:p>
    <w:p w14:paraId="321D74BB" w14:textId="3D61C00E" w:rsidR="00733E9B" w:rsidRPr="001B2ED9" w:rsidRDefault="00733E9B" w:rsidP="00733E9B">
      <w:pPr>
        <w:spacing w:line="276" w:lineRule="auto"/>
        <w:rPr>
          <w:rFonts w:asciiTheme="majorHAnsi" w:hAnsiTheme="majorHAnsi" w:cstheme="majorHAnsi"/>
          <w:b/>
          <w:bCs/>
          <w:sz w:val="21"/>
          <w:szCs w:val="21"/>
        </w:rPr>
      </w:pPr>
      <w:r w:rsidRPr="002974C4">
        <w:rPr>
          <w:rFonts w:asciiTheme="majorHAnsi" w:hAnsiTheme="majorHAnsi" w:cstheme="majorHAnsi"/>
          <w:b/>
          <w:bCs/>
          <w:sz w:val="21"/>
          <w:szCs w:val="21"/>
        </w:rPr>
        <w:t>Diese Medien-Info inkl</w:t>
      </w:r>
      <w:r w:rsidRPr="001B2ED9">
        <w:rPr>
          <w:rFonts w:asciiTheme="majorHAnsi" w:hAnsiTheme="majorHAnsi" w:cstheme="majorHAnsi"/>
          <w:b/>
          <w:bCs/>
          <w:sz w:val="21"/>
          <w:szCs w:val="21"/>
        </w:rPr>
        <w:t>. Tabelle als Word-File zum Download finden Sie </w:t>
      </w:r>
      <w:hyperlink r:id="rId8" w:history="1">
        <w:r w:rsidRPr="0080251F">
          <w:rPr>
            <w:rStyle w:val="Hyperlink"/>
            <w:rFonts w:asciiTheme="majorHAnsi" w:hAnsiTheme="majorHAnsi" w:cstheme="majorHAnsi"/>
            <w:b/>
            <w:bCs/>
            <w:szCs w:val="21"/>
          </w:rPr>
          <w:t>hier</w:t>
        </w:r>
      </w:hyperlink>
      <w:r w:rsidRPr="001B2ED9">
        <w:rPr>
          <w:rFonts w:asciiTheme="majorHAnsi" w:hAnsiTheme="majorHAnsi" w:cstheme="majorHAnsi"/>
          <w:b/>
          <w:bCs/>
          <w:sz w:val="21"/>
          <w:szCs w:val="21"/>
        </w:rPr>
        <w:t>.</w:t>
      </w:r>
    </w:p>
    <w:p w14:paraId="09537E3A" w14:textId="049D272D" w:rsidR="00733E9B" w:rsidRDefault="00733E9B" w:rsidP="007B0DAC">
      <w:pPr>
        <w:spacing w:line="276" w:lineRule="auto"/>
        <w:rPr>
          <w:rStyle w:val="Hyperlink"/>
          <w:rFonts w:asciiTheme="majorHAnsi" w:hAnsiTheme="majorHAnsi" w:cstheme="majorHAnsi"/>
          <w:szCs w:val="21"/>
        </w:rPr>
      </w:pPr>
      <w:r w:rsidRPr="00B67129">
        <w:rPr>
          <w:rFonts w:asciiTheme="majorHAnsi" w:hAnsiTheme="majorHAnsi" w:cstheme="majorHAnsi"/>
          <w:sz w:val="21"/>
          <w:szCs w:val="21"/>
        </w:rPr>
        <w:br/>
        <w:t>Die aktuellen Kennzahlen in vollem Umfang für sämtliche erhobenen Herkunftsmärkte erhalten Sie unter: </w:t>
      </w:r>
      <w:hyperlink r:id="rId9" w:tgtFrame="_blank" w:history="1">
        <w:r w:rsidRPr="00B67129">
          <w:rPr>
            <w:rStyle w:val="Hyperlink"/>
            <w:rFonts w:asciiTheme="majorHAnsi" w:hAnsiTheme="majorHAnsi" w:cstheme="majorHAnsi"/>
            <w:szCs w:val="21"/>
          </w:rPr>
          <w:t>https://b2b.wien.info/de/statistik/daten/statistik-aktuell</w:t>
        </w:r>
      </w:hyperlink>
    </w:p>
    <w:p w14:paraId="71B52763" w14:textId="77777777" w:rsidR="00063AA3" w:rsidRDefault="00063AA3" w:rsidP="007B0DAC">
      <w:pPr>
        <w:spacing w:line="276" w:lineRule="auto"/>
        <w:rPr>
          <w:rStyle w:val="Hyperlink"/>
          <w:rFonts w:asciiTheme="majorHAnsi" w:hAnsiTheme="majorHAnsi" w:cstheme="majorHAnsi"/>
          <w:szCs w:val="21"/>
        </w:rPr>
      </w:pPr>
    </w:p>
    <w:p w14:paraId="15C1AFD9" w14:textId="77777777" w:rsidR="004347C8" w:rsidRDefault="004347C8" w:rsidP="00063AA3">
      <w:pPr>
        <w:spacing w:line="276" w:lineRule="auto"/>
        <w:rPr>
          <w:rFonts w:asciiTheme="minorHAnsi" w:hAnsiTheme="minorHAnsi" w:cstheme="minorHAnsi"/>
          <w:b/>
          <w:bCs/>
          <w:sz w:val="21"/>
          <w:szCs w:val="21"/>
        </w:rPr>
      </w:pPr>
    </w:p>
    <w:p w14:paraId="54802E5B" w14:textId="77777777" w:rsidR="004347C8" w:rsidRDefault="004347C8" w:rsidP="00063AA3">
      <w:pPr>
        <w:spacing w:line="276" w:lineRule="auto"/>
        <w:rPr>
          <w:rFonts w:asciiTheme="minorHAnsi" w:hAnsiTheme="minorHAnsi" w:cstheme="minorHAnsi"/>
          <w:b/>
          <w:bCs/>
          <w:sz w:val="21"/>
          <w:szCs w:val="21"/>
        </w:rPr>
      </w:pPr>
    </w:p>
    <w:p w14:paraId="2D9A0132" w14:textId="77777777" w:rsidR="004347C8" w:rsidRDefault="004347C8" w:rsidP="00063AA3">
      <w:pPr>
        <w:spacing w:line="276" w:lineRule="auto"/>
        <w:rPr>
          <w:rFonts w:asciiTheme="minorHAnsi" w:hAnsiTheme="minorHAnsi" w:cstheme="minorHAnsi"/>
          <w:b/>
          <w:bCs/>
          <w:sz w:val="21"/>
          <w:szCs w:val="21"/>
        </w:rPr>
      </w:pPr>
    </w:p>
    <w:p w14:paraId="096E4882" w14:textId="547F2ACE" w:rsidR="00063AA3" w:rsidRPr="00063AA3" w:rsidRDefault="00063AA3" w:rsidP="00063AA3">
      <w:pPr>
        <w:spacing w:line="276" w:lineRule="auto"/>
        <w:rPr>
          <w:rFonts w:asciiTheme="minorHAnsi" w:hAnsiTheme="minorHAnsi" w:cstheme="minorHAnsi"/>
          <w:b/>
          <w:bCs/>
          <w:sz w:val="21"/>
          <w:szCs w:val="21"/>
        </w:rPr>
      </w:pPr>
      <w:r w:rsidRPr="00063AA3">
        <w:rPr>
          <w:rFonts w:asciiTheme="minorHAnsi" w:hAnsiTheme="minorHAnsi" w:cstheme="minorHAnsi"/>
          <w:b/>
          <w:bCs/>
          <w:sz w:val="21"/>
          <w:szCs w:val="21"/>
        </w:rPr>
        <w:t>Rückfragen für Medien</w:t>
      </w:r>
    </w:p>
    <w:p w14:paraId="66E05281" w14:textId="77777777" w:rsidR="00063AA3" w:rsidRPr="00063AA3" w:rsidRDefault="00063AA3" w:rsidP="00063AA3">
      <w:pPr>
        <w:spacing w:line="276" w:lineRule="auto"/>
        <w:rPr>
          <w:rFonts w:asciiTheme="minorHAnsi" w:hAnsiTheme="minorHAnsi" w:cstheme="minorHAnsi"/>
          <w:b/>
          <w:bCs/>
          <w:sz w:val="21"/>
          <w:szCs w:val="21"/>
        </w:rPr>
      </w:pPr>
    </w:p>
    <w:p w14:paraId="46CA104E" w14:textId="62BC1A8C" w:rsidR="00063AA3" w:rsidRPr="00063AA3" w:rsidRDefault="00063AA3" w:rsidP="008278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75"/>
        </w:tabs>
        <w:spacing w:line="276" w:lineRule="auto"/>
        <w:rPr>
          <w:rFonts w:asciiTheme="minorHAnsi" w:hAnsiTheme="minorHAnsi" w:cstheme="minorHAnsi"/>
          <w:sz w:val="21"/>
          <w:szCs w:val="21"/>
          <w:lang w:val="de-DE"/>
        </w:rPr>
      </w:pPr>
      <w:r w:rsidRPr="00063AA3">
        <w:rPr>
          <w:rFonts w:asciiTheme="minorHAnsi" w:hAnsiTheme="minorHAnsi" w:cstheme="minorHAnsi"/>
          <w:sz w:val="21"/>
          <w:szCs w:val="21"/>
        </w:rPr>
        <w:t>Walter Straßer</w:t>
      </w:r>
      <w:r w:rsidRPr="00063AA3">
        <w:rPr>
          <w:rFonts w:asciiTheme="minorHAnsi" w:hAnsiTheme="minorHAnsi" w:cstheme="minorHAnsi"/>
          <w:sz w:val="21"/>
          <w:szCs w:val="21"/>
        </w:rPr>
        <w:tab/>
      </w:r>
      <w:r w:rsidRPr="00063AA3">
        <w:rPr>
          <w:rFonts w:asciiTheme="minorHAnsi" w:hAnsiTheme="minorHAnsi" w:cstheme="minorHAnsi"/>
          <w:sz w:val="21"/>
          <w:szCs w:val="21"/>
        </w:rPr>
        <w:tab/>
      </w:r>
      <w:r w:rsidRPr="00063AA3"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Pr="00063AA3">
        <w:rPr>
          <w:rFonts w:asciiTheme="minorHAnsi" w:hAnsiTheme="minorHAnsi" w:cstheme="minorHAnsi"/>
          <w:sz w:val="21"/>
          <w:szCs w:val="21"/>
        </w:rPr>
        <w:t>Marie-Therese Tropsch</w:t>
      </w:r>
      <w:r w:rsidR="008278E6">
        <w:rPr>
          <w:rFonts w:asciiTheme="minorHAnsi" w:hAnsiTheme="minorHAnsi" w:cstheme="minorHAnsi"/>
          <w:sz w:val="21"/>
          <w:szCs w:val="21"/>
        </w:rPr>
        <w:tab/>
      </w:r>
    </w:p>
    <w:p w14:paraId="50E05A53" w14:textId="77777777" w:rsidR="00063AA3" w:rsidRPr="005026CC" w:rsidRDefault="00063AA3" w:rsidP="00063AA3">
      <w:pPr>
        <w:spacing w:line="276" w:lineRule="auto"/>
        <w:rPr>
          <w:rFonts w:asciiTheme="minorHAnsi" w:hAnsiTheme="minorHAnsi" w:cstheme="minorHAnsi"/>
          <w:sz w:val="21"/>
          <w:szCs w:val="21"/>
          <w:lang w:val="es-ES"/>
        </w:rPr>
      </w:pPr>
      <w:r w:rsidRPr="005026CC">
        <w:rPr>
          <w:rFonts w:asciiTheme="minorHAnsi" w:hAnsiTheme="minorHAnsi" w:cstheme="minorHAnsi"/>
          <w:sz w:val="21"/>
          <w:szCs w:val="21"/>
          <w:lang w:val="es-ES"/>
        </w:rPr>
        <w:t>Tel. +43 1 211 14 – 111</w:t>
      </w:r>
      <w:r w:rsidRPr="005026CC">
        <w:rPr>
          <w:rFonts w:asciiTheme="minorHAnsi" w:hAnsiTheme="minorHAnsi" w:cstheme="minorHAnsi"/>
          <w:sz w:val="21"/>
          <w:szCs w:val="21"/>
          <w:lang w:val="es-ES"/>
        </w:rPr>
        <w:tab/>
      </w:r>
      <w:r w:rsidRPr="005026CC">
        <w:rPr>
          <w:rFonts w:asciiTheme="minorHAnsi" w:hAnsiTheme="minorHAnsi" w:cstheme="minorHAnsi"/>
          <w:sz w:val="21"/>
          <w:szCs w:val="21"/>
          <w:lang w:val="es-ES"/>
        </w:rPr>
        <w:tab/>
        <w:t>Tel. +43 1 211 14 – 117</w:t>
      </w:r>
    </w:p>
    <w:p w14:paraId="49F601C3" w14:textId="77777777" w:rsidR="00063AA3" w:rsidRPr="00063AA3" w:rsidRDefault="00D42098" w:rsidP="00063AA3">
      <w:pPr>
        <w:rPr>
          <w:rFonts w:asciiTheme="minorHAnsi" w:hAnsiTheme="minorHAnsi" w:cstheme="minorHAnsi"/>
          <w:sz w:val="21"/>
          <w:szCs w:val="21"/>
          <w:lang w:val="es-ES"/>
        </w:rPr>
      </w:pPr>
      <w:hyperlink r:id="rId10" w:history="1">
        <w:r w:rsidR="00063AA3" w:rsidRPr="00063AA3">
          <w:rPr>
            <w:rStyle w:val="Hyperlink"/>
            <w:rFonts w:asciiTheme="minorHAnsi" w:hAnsiTheme="minorHAnsi" w:cstheme="minorHAnsi"/>
            <w:szCs w:val="21"/>
            <w:lang w:val="es-ES"/>
          </w:rPr>
          <w:t>walter.strasser@wien.info</w:t>
        </w:r>
      </w:hyperlink>
      <w:r w:rsidR="00063AA3" w:rsidRPr="00063AA3">
        <w:rPr>
          <w:rFonts w:asciiTheme="minorHAnsi" w:hAnsiTheme="minorHAnsi" w:cstheme="minorHAnsi"/>
          <w:sz w:val="21"/>
          <w:szCs w:val="21"/>
          <w:lang w:val="es-ES"/>
        </w:rPr>
        <w:tab/>
      </w:r>
      <w:r w:rsidR="00063AA3" w:rsidRPr="00063AA3">
        <w:rPr>
          <w:rFonts w:asciiTheme="minorHAnsi" w:hAnsiTheme="minorHAnsi" w:cstheme="minorHAnsi"/>
          <w:sz w:val="21"/>
          <w:szCs w:val="21"/>
          <w:lang w:val="es-ES"/>
        </w:rPr>
        <w:tab/>
      </w:r>
      <w:hyperlink r:id="rId11" w:history="1">
        <w:r w:rsidR="00063AA3" w:rsidRPr="00063AA3">
          <w:rPr>
            <w:rStyle w:val="Hyperlink"/>
            <w:rFonts w:asciiTheme="minorHAnsi" w:hAnsiTheme="minorHAnsi" w:cstheme="minorHAnsi"/>
            <w:szCs w:val="21"/>
            <w:lang w:val="es-ES"/>
          </w:rPr>
          <w:t>marie-therese.tropsch@wien.info</w:t>
        </w:r>
      </w:hyperlink>
    </w:p>
    <w:p w14:paraId="32CCCE06" w14:textId="77777777" w:rsidR="00063AA3" w:rsidRPr="00063AA3" w:rsidRDefault="00063AA3" w:rsidP="007B0DAC">
      <w:pPr>
        <w:spacing w:line="276" w:lineRule="auto"/>
        <w:rPr>
          <w:rFonts w:asciiTheme="majorHAnsi" w:hAnsiTheme="majorHAnsi" w:cstheme="majorHAnsi"/>
          <w:sz w:val="21"/>
          <w:szCs w:val="21"/>
          <w:lang w:val="es-ES"/>
        </w:rPr>
      </w:pPr>
    </w:p>
    <w:sectPr w:rsidR="00063AA3" w:rsidRPr="00063AA3" w:rsidSect="00EF277F">
      <w:footerReference w:type="default" r:id="rId12"/>
      <w:footerReference w:type="first" r:id="rId13"/>
      <w:pgSz w:w="11900" w:h="16840"/>
      <w:pgMar w:top="2268" w:right="1134" w:bottom="2268" w:left="1134" w:header="851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02CC2" w14:textId="77777777" w:rsidR="009C5EB5" w:rsidRDefault="009C5EB5" w:rsidP="00474F51">
      <w:r>
        <w:separator/>
      </w:r>
    </w:p>
  </w:endnote>
  <w:endnote w:type="continuationSeparator" w:id="0">
    <w:p w14:paraId="0F1A0B84" w14:textId="77777777" w:rsidR="009C5EB5" w:rsidRDefault="009C5EB5" w:rsidP="0047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phik Light">
    <w:charset w:val="00"/>
    <w:family w:val="auto"/>
    <w:pitch w:val="variable"/>
    <w:sig w:usb0="00000007" w:usb1="00000000" w:usb2="00000000" w:usb3="00000000" w:csb0="00000093" w:csb1="00000000"/>
  </w:font>
  <w:font w:name="Graphik LCG Light">
    <w:altName w:val="Myriad Pro"/>
    <w:panose1 w:val="020B0403030202060203"/>
    <w:charset w:val="00"/>
    <w:family w:val="swiss"/>
    <w:notTrueType/>
    <w:pitch w:val="variable"/>
    <w:sig w:usb0="00000287" w:usb1="00000000" w:usb2="00000000" w:usb3="00000000" w:csb0="0000009F" w:csb1="00000000"/>
  </w:font>
  <w:font w:name="Graphik LCG TT Light">
    <w:panose1 w:val="020B0403030202060203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aphik LCG">
    <w:altName w:val="Calibri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34DFA" w14:textId="749BCF77" w:rsidR="00AD479F" w:rsidRDefault="00431005" w:rsidP="00431005">
    <w:pPr>
      <w:pStyle w:val="Fuzeile"/>
    </w:pPr>
    <w:r>
      <w:rPr>
        <w:noProof/>
        <w:lang w:val="de-AT" w:eastAsia="de-AT"/>
      </w:rPr>
      <w:drawing>
        <wp:anchor distT="0" distB="0" distL="114300" distR="114300" simplePos="0" relativeHeight="251668480" behindDoc="0" locked="1" layoutInCell="1" allowOverlap="1" wp14:anchorId="7A0434A8" wp14:editId="0E651416">
          <wp:simplePos x="0" y="0"/>
          <wp:positionH relativeFrom="margin">
            <wp:align>center</wp:align>
          </wp:positionH>
          <wp:positionV relativeFrom="margin">
            <wp:posOffset>8461375</wp:posOffset>
          </wp:positionV>
          <wp:extent cx="936000" cy="180360"/>
          <wp:effectExtent l="0" t="0" r="381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ienTourismus_Logo_4C_DE_ohne-Clai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000" cy="180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softHyphen/>
    </w:r>
    <w:r>
      <w:fldChar w:fldCharType="begin"/>
    </w:r>
    <w:r>
      <w:instrText xml:space="preserve"> </w:instrText>
    </w:r>
    <w:r w:rsidR="00B365EC">
      <w:instrText>PAGE</w:instrText>
    </w:r>
    <w:r>
      <w:instrText xml:space="preserve">  \* MERGEFORMAT </w:instrText>
    </w:r>
    <w:r>
      <w:fldChar w:fldCharType="separate"/>
    </w:r>
    <w:r w:rsidR="006158B4">
      <w:rPr>
        <w:noProof/>
      </w:rPr>
      <w:t>2</w:t>
    </w:r>
    <w:r>
      <w:fldChar w:fldCharType="end"/>
    </w:r>
    <w:r w:rsidR="00E54EB7">
      <w:t>/</w:t>
    </w:r>
    <w:r w:rsidR="00945057">
      <w:fldChar w:fldCharType="begin"/>
    </w:r>
    <w:r w:rsidR="00945057">
      <w:instrText xml:space="preserve"> </w:instrText>
    </w:r>
    <w:r w:rsidR="00B365EC">
      <w:instrText>NUMPAGES</w:instrText>
    </w:r>
    <w:r w:rsidR="00945057">
      <w:instrText xml:space="preserve">  \* MERGEFORMAT </w:instrText>
    </w:r>
    <w:r w:rsidR="00945057">
      <w:fldChar w:fldCharType="separate"/>
    </w:r>
    <w:r w:rsidR="006158B4">
      <w:rPr>
        <w:noProof/>
      </w:rPr>
      <w:t>3</w:t>
    </w:r>
    <w:r w:rsidR="0094505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9C2E8" w14:textId="77777777" w:rsidR="00313D79" w:rsidRDefault="00BA1987" w:rsidP="00B13391">
    <w:pPr>
      <w:pStyle w:val="Fuzeile"/>
    </w:pPr>
    <w:r>
      <w:rPr>
        <w:noProof/>
        <w:lang w:val="de-AT" w:eastAsia="de-AT"/>
      </w:rPr>
      <w:drawing>
        <wp:anchor distT="0" distB="0" distL="114300" distR="114300" simplePos="0" relativeHeight="251670528" behindDoc="0" locked="1" layoutInCell="1" allowOverlap="1" wp14:anchorId="56C037A1" wp14:editId="2722F8B3">
          <wp:simplePos x="0" y="0"/>
          <wp:positionH relativeFrom="margin">
            <wp:align>center</wp:align>
          </wp:positionH>
          <wp:positionV relativeFrom="margin">
            <wp:posOffset>8472805</wp:posOffset>
          </wp:positionV>
          <wp:extent cx="936000" cy="180360"/>
          <wp:effectExtent l="0" t="0" r="3810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ienTourismus_Logo_4C_DE_ohne-Clai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000" cy="180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704DE" w14:textId="77777777" w:rsidR="009C5EB5" w:rsidRDefault="009C5EB5" w:rsidP="00474F51">
      <w:r>
        <w:separator/>
      </w:r>
    </w:p>
  </w:footnote>
  <w:footnote w:type="continuationSeparator" w:id="0">
    <w:p w14:paraId="7299539B" w14:textId="77777777" w:rsidR="009C5EB5" w:rsidRDefault="009C5EB5" w:rsidP="00474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BEC9A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AEAD7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B00B8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A1E12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B3C8B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11CE5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7CC0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D2058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DC7C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7EC2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17EE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2E01E2"/>
    <w:multiLevelType w:val="hybridMultilevel"/>
    <w:tmpl w:val="F3E67DB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A7A75"/>
    <w:multiLevelType w:val="multilevel"/>
    <w:tmpl w:val="E7AE933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FB4AAC"/>
    <w:multiLevelType w:val="hybridMultilevel"/>
    <w:tmpl w:val="CDA6005E"/>
    <w:lvl w:ilvl="0" w:tplc="E190FD12">
      <w:start w:val="1"/>
      <w:numFmt w:val="bullet"/>
      <w:lvlText w:val=""/>
      <w:lvlJc w:val="left"/>
      <w:pPr>
        <w:ind w:left="737" w:hanging="170"/>
      </w:pPr>
      <w:rPr>
        <w:rFonts w:ascii="Symbol" w:hAnsi="Symbol" w:hint="default"/>
        <w:b w:val="0"/>
        <w:i w:val="0"/>
        <w:color w:val="C00000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611A76"/>
    <w:multiLevelType w:val="multilevel"/>
    <w:tmpl w:val="CDA6005E"/>
    <w:lvl w:ilvl="0">
      <w:start w:val="1"/>
      <w:numFmt w:val="bullet"/>
      <w:lvlText w:val=""/>
      <w:lvlJc w:val="left"/>
      <w:pPr>
        <w:ind w:left="737" w:hanging="170"/>
      </w:pPr>
      <w:rPr>
        <w:rFonts w:ascii="Symbol" w:hAnsi="Symbol" w:hint="default"/>
        <w:b w:val="0"/>
        <w:i w:val="0"/>
        <w:color w:val="C0000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083099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0A956AF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3897F7C"/>
    <w:multiLevelType w:val="multilevel"/>
    <w:tmpl w:val="25ACB0F2"/>
    <w:lvl w:ilvl="0">
      <w:start w:val="1"/>
      <w:numFmt w:val="decimal"/>
      <w:lvlText w:val="%1."/>
      <w:lvlJc w:val="left"/>
      <w:pPr>
        <w:ind w:left="720" w:hanging="360"/>
      </w:pPr>
      <w:rPr>
        <w:rFonts w:ascii="Graphik Light" w:hAnsi="Graphik Light" w:hint="default"/>
        <w:b w:val="0"/>
        <w:i w:val="0"/>
        <w:color w:val="C0000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FF0CC9"/>
    <w:multiLevelType w:val="hybridMultilevel"/>
    <w:tmpl w:val="7AFA36B6"/>
    <w:lvl w:ilvl="0" w:tplc="D14CEDA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  <w:i w:val="0"/>
        <w:color w:val="E52236" w:themeColor="accent1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01F79"/>
    <w:multiLevelType w:val="multilevel"/>
    <w:tmpl w:val="D690E42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330E6970"/>
    <w:multiLevelType w:val="hybridMultilevel"/>
    <w:tmpl w:val="9A74BEB6"/>
    <w:lvl w:ilvl="0" w:tplc="19041ABA">
      <w:start w:val="1"/>
      <w:numFmt w:val="decimal"/>
      <w:lvlText w:val="%1."/>
      <w:lvlJc w:val="left"/>
      <w:pPr>
        <w:ind w:left="927" w:hanging="360"/>
      </w:pPr>
      <w:rPr>
        <w:rFonts w:ascii="Graphik LCG Light" w:hAnsi="Graphik LCG Light" w:hint="default"/>
        <w:b w:val="0"/>
        <w:i w:val="0"/>
        <w:color w:val="E52236" w:themeColor="accent1"/>
        <w:sz w:val="18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521E7D"/>
    <w:multiLevelType w:val="multilevel"/>
    <w:tmpl w:val="F3E67D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53190F"/>
    <w:multiLevelType w:val="multilevel"/>
    <w:tmpl w:val="26AAD5B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42613649"/>
    <w:multiLevelType w:val="hybridMultilevel"/>
    <w:tmpl w:val="B658BB12"/>
    <w:lvl w:ilvl="0" w:tplc="1A9E94F4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ascii="Graphik LCG Light" w:hAnsi="Graphik LCG Light" w:hint="default"/>
        <w:b w:val="0"/>
        <w:i w:val="0"/>
        <w:color w:val="C00000"/>
        <w:sz w:val="18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A56B5"/>
    <w:multiLevelType w:val="hybridMultilevel"/>
    <w:tmpl w:val="25ACB0F2"/>
    <w:lvl w:ilvl="0" w:tplc="30FA3370">
      <w:start w:val="1"/>
      <w:numFmt w:val="decimal"/>
      <w:lvlText w:val="%1."/>
      <w:lvlJc w:val="left"/>
      <w:pPr>
        <w:ind w:left="720" w:hanging="360"/>
      </w:pPr>
      <w:rPr>
        <w:rFonts w:ascii="Graphik Light" w:hAnsi="Graphik Light" w:hint="default"/>
        <w:b w:val="0"/>
        <w:i w:val="0"/>
        <w:color w:val="C00000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556F3"/>
    <w:multiLevelType w:val="multilevel"/>
    <w:tmpl w:val="3EC8EA3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5659549B"/>
    <w:multiLevelType w:val="multilevel"/>
    <w:tmpl w:val="F3E67D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041C0"/>
    <w:multiLevelType w:val="multilevel"/>
    <w:tmpl w:val="B658BB1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ascii="Graphik LCG Light" w:hAnsi="Graphik LCG Light" w:hint="default"/>
        <w:b w:val="0"/>
        <w:i w:val="0"/>
        <w:color w:val="C0000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16E16"/>
    <w:multiLevelType w:val="hybridMultilevel"/>
    <w:tmpl w:val="43EC24DA"/>
    <w:lvl w:ilvl="0" w:tplc="CF7C5F58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color w:val="C00000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BA5CA9"/>
    <w:multiLevelType w:val="hybridMultilevel"/>
    <w:tmpl w:val="0EF2C2F2"/>
    <w:lvl w:ilvl="0" w:tplc="F2AEC2F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  <w:b w:val="0"/>
        <w:i w:val="0"/>
        <w:color w:val="C00000"/>
        <w:sz w:val="18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D2BDF"/>
    <w:multiLevelType w:val="multilevel"/>
    <w:tmpl w:val="F3E67D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31FA9"/>
    <w:multiLevelType w:val="multilevel"/>
    <w:tmpl w:val="8CF63E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C0000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80163"/>
    <w:multiLevelType w:val="hybridMultilevel"/>
    <w:tmpl w:val="A64C40B2"/>
    <w:lvl w:ilvl="0" w:tplc="A3A8CF92">
      <w:start w:val="1"/>
      <w:numFmt w:val="decimal"/>
      <w:lvlText w:val="%1."/>
      <w:lvlJc w:val="left"/>
      <w:pPr>
        <w:tabs>
          <w:tab w:val="num" w:pos="794"/>
        </w:tabs>
        <w:ind w:left="794" w:hanging="227"/>
      </w:pPr>
      <w:rPr>
        <w:rFonts w:hint="default"/>
        <w:color w:val="E52236" w:themeColor="accen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094AFD"/>
    <w:multiLevelType w:val="multilevel"/>
    <w:tmpl w:val="94B08E3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70F52E59"/>
    <w:multiLevelType w:val="multilevel"/>
    <w:tmpl w:val="BA526400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11C7DCF"/>
    <w:multiLevelType w:val="hybridMultilevel"/>
    <w:tmpl w:val="B4EE7B92"/>
    <w:lvl w:ilvl="0" w:tplc="CCB02FE4">
      <w:start w:val="1"/>
      <w:numFmt w:val="decimal"/>
      <w:pStyle w:val="Nummerierung"/>
      <w:lvlText w:val="%1."/>
      <w:lvlJc w:val="left"/>
      <w:pPr>
        <w:tabs>
          <w:tab w:val="num" w:pos="794"/>
        </w:tabs>
        <w:ind w:left="794" w:hanging="227"/>
      </w:pPr>
      <w:rPr>
        <w:rFonts w:hint="default"/>
        <w:color w:val="E52236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F46C9"/>
    <w:multiLevelType w:val="hybridMultilevel"/>
    <w:tmpl w:val="8CF63EA0"/>
    <w:lvl w:ilvl="0" w:tplc="0E8A3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C00000"/>
        <w:sz w:val="18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5C4E43"/>
    <w:multiLevelType w:val="multilevel"/>
    <w:tmpl w:val="43EC24DA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color w:val="C0000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4B28BC"/>
    <w:multiLevelType w:val="multilevel"/>
    <w:tmpl w:val="6EE85974"/>
    <w:lvl w:ilvl="0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E52236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C53ED"/>
    <w:multiLevelType w:val="hybridMultilevel"/>
    <w:tmpl w:val="0256D4C6"/>
    <w:lvl w:ilvl="0" w:tplc="0AACA7AC">
      <w:start w:val="1"/>
      <w:numFmt w:val="bullet"/>
      <w:pStyle w:val="Aufzhlung"/>
      <w:lvlText w:val=""/>
      <w:lvlJc w:val="left"/>
      <w:pPr>
        <w:ind w:left="794" w:hanging="227"/>
      </w:pPr>
      <w:rPr>
        <w:rFonts w:ascii="Symbol" w:hAnsi="Symbol" w:hint="default"/>
        <w:color w:val="E52236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CE5E16"/>
    <w:multiLevelType w:val="multilevel"/>
    <w:tmpl w:val="0EF2C2F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  <w:b w:val="0"/>
        <w:i w:val="0"/>
        <w:color w:val="C0000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155805">
    <w:abstractNumId w:val="11"/>
  </w:num>
  <w:num w:numId="2" w16cid:durableId="1493327177">
    <w:abstractNumId w:val="21"/>
  </w:num>
  <w:num w:numId="3" w16cid:durableId="787511727">
    <w:abstractNumId w:val="12"/>
  </w:num>
  <w:num w:numId="4" w16cid:durableId="453862688">
    <w:abstractNumId w:val="34"/>
  </w:num>
  <w:num w:numId="5" w16cid:durableId="1931348415">
    <w:abstractNumId w:val="26"/>
  </w:num>
  <w:num w:numId="6" w16cid:durableId="1133596043">
    <w:abstractNumId w:val="36"/>
  </w:num>
  <w:num w:numId="7" w16cid:durableId="1228342133">
    <w:abstractNumId w:val="30"/>
  </w:num>
  <w:num w:numId="8" w16cid:durableId="1244870655">
    <w:abstractNumId w:val="24"/>
  </w:num>
  <w:num w:numId="9" w16cid:durableId="1062170980">
    <w:abstractNumId w:val="16"/>
  </w:num>
  <w:num w:numId="10" w16cid:durableId="2054308509">
    <w:abstractNumId w:val="17"/>
  </w:num>
  <w:num w:numId="11" w16cid:durableId="1660889730">
    <w:abstractNumId w:val="13"/>
  </w:num>
  <w:num w:numId="12" w16cid:durableId="640619349">
    <w:abstractNumId w:val="14"/>
  </w:num>
  <w:num w:numId="13" w16cid:durableId="35587078">
    <w:abstractNumId w:val="28"/>
  </w:num>
  <w:num w:numId="14" w16cid:durableId="223611861">
    <w:abstractNumId w:val="31"/>
  </w:num>
  <w:num w:numId="15" w16cid:durableId="1141071754">
    <w:abstractNumId w:val="29"/>
  </w:num>
  <w:num w:numId="16" w16cid:durableId="522280556">
    <w:abstractNumId w:val="40"/>
  </w:num>
  <w:num w:numId="17" w16cid:durableId="199511457">
    <w:abstractNumId w:val="23"/>
  </w:num>
  <w:num w:numId="18" w16cid:durableId="993264662">
    <w:abstractNumId w:val="27"/>
  </w:num>
  <w:num w:numId="19" w16cid:durableId="981081015">
    <w:abstractNumId w:val="20"/>
  </w:num>
  <w:num w:numId="20" w16cid:durableId="1121150924">
    <w:abstractNumId w:val="37"/>
  </w:num>
  <w:num w:numId="21" w16cid:durableId="787164083">
    <w:abstractNumId w:val="18"/>
  </w:num>
  <w:num w:numId="22" w16cid:durableId="263078110">
    <w:abstractNumId w:val="0"/>
  </w:num>
  <w:num w:numId="23" w16cid:durableId="1515151506">
    <w:abstractNumId w:val="1"/>
  </w:num>
  <w:num w:numId="24" w16cid:durableId="1176845718">
    <w:abstractNumId w:val="2"/>
  </w:num>
  <w:num w:numId="25" w16cid:durableId="998577761">
    <w:abstractNumId w:val="3"/>
  </w:num>
  <w:num w:numId="26" w16cid:durableId="1151747188">
    <w:abstractNumId w:val="4"/>
  </w:num>
  <w:num w:numId="27" w16cid:durableId="1473058844">
    <w:abstractNumId w:val="9"/>
  </w:num>
  <w:num w:numId="28" w16cid:durableId="2013219952">
    <w:abstractNumId w:val="5"/>
  </w:num>
  <w:num w:numId="29" w16cid:durableId="344406913">
    <w:abstractNumId w:val="6"/>
  </w:num>
  <w:num w:numId="30" w16cid:durableId="373427864">
    <w:abstractNumId w:val="7"/>
  </w:num>
  <w:num w:numId="31" w16cid:durableId="325208276">
    <w:abstractNumId w:val="8"/>
  </w:num>
  <w:num w:numId="32" w16cid:durableId="620695549">
    <w:abstractNumId w:val="10"/>
  </w:num>
  <w:num w:numId="33" w16cid:durableId="1530021712">
    <w:abstractNumId w:val="15"/>
  </w:num>
  <w:num w:numId="34" w16cid:durableId="138964148">
    <w:abstractNumId w:val="33"/>
  </w:num>
  <w:num w:numId="35" w16cid:durableId="1376540742">
    <w:abstractNumId w:val="25"/>
  </w:num>
  <w:num w:numId="36" w16cid:durableId="1459572473">
    <w:abstractNumId w:val="19"/>
  </w:num>
  <w:num w:numId="37" w16cid:durableId="1015116845">
    <w:abstractNumId w:val="22"/>
  </w:num>
  <w:num w:numId="38" w16cid:durableId="1126387804">
    <w:abstractNumId w:val="35"/>
  </w:num>
  <w:num w:numId="39" w16cid:durableId="1170868586">
    <w:abstractNumId w:val="32"/>
  </w:num>
  <w:num w:numId="40" w16cid:durableId="572591799">
    <w:abstractNumId w:val="38"/>
  </w:num>
  <w:num w:numId="41" w16cid:durableId="449129498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9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99D"/>
    <w:rsid w:val="00000788"/>
    <w:rsid w:val="000158F1"/>
    <w:rsid w:val="00021A4A"/>
    <w:rsid w:val="00024E41"/>
    <w:rsid w:val="000252E1"/>
    <w:rsid w:val="00026D4A"/>
    <w:rsid w:val="00032304"/>
    <w:rsid w:val="00036856"/>
    <w:rsid w:val="00052DC1"/>
    <w:rsid w:val="00057F74"/>
    <w:rsid w:val="00063AA3"/>
    <w:rsid w:val="00067556"/>
    <w:rsid w:val="00072209"/>
    <w:rsid w:val="00072FBD"/>
    <w:rsid w:val="00080FD6"/>
    <w:rsid w:val="000866C7"/>
    <w:rsid w:val="00095BAA"/>
    <w:rsid w:val="00097195"/>
    <w:rsid w:val="000A6C31"/>
    <w:rsid w:val="000D3840"/>
    <w:rsid w:val="000D45B0"/>
    <w:rsid w:val="000E0DB4"/>
    <w:rsid w:val="00100B47"/>
    <w:rsid w:val="00102099"/>
    <w:rsid w:val="001060C6"/>
    <w:rsid w:val="00115FAC"/>
    <w:rsid w:val="0012071B"/>
    <w:rsid w:val="00130A80"/>
    <w:rsid w:val="001516E1"/>
    <w:rsid w:val="00154274"/>
    <w:rsid w:val="001565B0"/>
    <w:rsid w:val="001603FB"/>
    <w:rsid w:val="00161DD6"/>
    <w:rsid w:val="001622A8"/>
    <w:rsid w:val="001659D7"/>
    <w:rsid w:val="00167392"/>
    <w:rsid w:val="0017342B"/>
    <w:rsid w:val="001A7B45"/>
    <w:rsid w:val="001B2ED9"/>
    <w:rsid w:val="001B3832"/>
    <w:rsid w:val="001B48F1"/>
    <w:rsid w:val="001C1BF3"/>
    <w:rsid w:val="001C30E9"/>
    <w:rsid w:val="001C7ADF"/>
    <w:rsid w:val="001D4839"/>
    <w:rsid w:val="001E1943"/>
    <w:rsid w:val="001F5E75"/>
    <w:rsid w:val="0021299D"/>
    <w:rsid w:val="002200A9"/>
    <w:rsid w:val="002234D4"/>
    <w:rsid w:val="00227B87"/>
    <w:rsid w:val="0024079C"/>
    <w:rsid w:val="00241103"/>
    <w:rsid w:val="00243573"/>
    <w:rsid w:val="00245D8A"/>
    <w:rsid w:val="00245F4E"/>
    <w:rsid w:val="00251921"/>
    <w:rsid w:val="00255761"/>
    <w:rsid w:val="002714A5"/>
    <w:rsid w:val="00273525"/>
    <w:rsid w:val="002771E0"/>
    <w:rsid w:val="00282681"/>
    <w:rsid w:val="00286626"/>
    <w:rsid w:val="00292212"/>
    <w:rsid w:val="002974C4"/>
    <w:rsid w:val="002A0943"/>
    <w:rsid w:val="002A112B"/>
    <w:rsid w:val="002A79C7"/>
    <w:rsid w:val="002B0253"/>
    <w:rsid w:val="002B3CFB"/>
    <w:rsid w:val="002B7A9F"/>
    <w:rsid w:val="002C4539"/>
    <w:rsid w:val="002D1149"/>
    <w:rsid w:val="002E068C"/>
    <w:rsid w:val="002E56D4"/>
    <w:rsid w:val="003015EF"/>
    <w:rsid w:val="0030347C"/>
    <w:rsid w:val="00313D79"/>
    <w:rsid w:val="003227FE"/>
    <w:rsid w:val="00332741"/>
    <w:rsid w:val="0034026F"/>
    <w:rsid w:val="0034641F"/>
    <w:rsid w:val="00355CCA"/>
    <w:rsid w:val="00356D8B"/>
    <w:rsid w:val="00362ED1"/>
    <w:rsid w:val="003708FA"/>
    <w:rsid w:val="00370BCF"/>
    <w:rsid w:val="00377D77"/>
    <w:rsid w:val="003865DB"/>
    <w:rsid w:val="00387233"/>
    <w:rsid w:val="003A2371"/>
    <w:rsid w:val="003A3232"/>
    <w:rsid w:val="003A5A74"/>
    <w:rsid w:val="003B19D4"/>
    <w:rsid w:val="003B5776"/>
    <w:rsid w:val="003B6A5A"/>
    <w:rsid w:val="003C049B"/>
    <w:rsid w:val="003C2CC0"/>
    <w:rsid w:val="003C55D6"/>
    <w:rsid w:val="003F0B1D"/>
    <w:rsid w:val="003F1B94"/>
    <w:rsid w:val="003F4DEB"/>
    <w:rsid w:val="0040014C"/>
    <w:rsid w:val="004020EA"/>
    <w:rsid w:val="00403BB4"/>
    <w:rsid w:val="0040406D"/>
    <w:rsid w:val="004145AA"/>
    <w:rsid w:val="00416458"/>
    <w:rsid w:val="00424AE4"/>
    <w:rsid w:val="00431005"/>
    <w:rsid w:val="004347C8"/>
    <w:rsid w:val="00453809"/>
    <w:rsid w:val="00455D80"/>
    <w:rsid w:val="004620A7"/>
    <w:rsid w:val="00474F51"/>
    <w:rsid w:val="00486F0B"/>
    <w:rsid w:val="00494418"/>
    <w:rsid w:val="004958FA"/>
    <w:rsid w:val="00497071"/>
    <w:rsid w:val="004A36CE"/>
    <w:rsid w:val="004A705F"/>
    <w:rsid w:val="004B7A66"/>
    <w:rsid w:val="004C33B3"/>
    <w:rsid w:val="004C3692"/>
    <w:rsid w:val="004C7043"/>
    <w:rsid w:val="004D0B66"/>
    <w:rsid w:val="004D3DEC"/>
    <w:rsid w:val="004E2C75"/>
    <w:rsid w:val="005026CC"/>
    <w:rsid w:val="00502F62"/>
    <w:rsid w:val="00504949"/>
    <w:rsid w:val="00511D3F"/>
    <w:rsid w:val="0051451B"/>
    <w:rsid w:val="005204BB"/>
    <w:rsid w:val="00531819"/>
    <w:rsid w:val="00532913"/>
    <w:rsid w:val="005332E0"/>
    <w:rsid w:val="0054028E"/>
    <w:rsid w:val="005464BB"/>
    <w:rsid w:val="0055246A"/>
    <w:rsid w:val="005538A8"/>
    <w:rsid w:val="00557A99"/>
    <w:rsid w:val="00561173"/>
    <w:rsid w:val="00563E1D"/>
    <w:rsid w:val="00565D00"/>
    <w:rsid w:val="00566DF3"/>
    <w:rsid w:val="00570455"/>
    <w:rsid w:val="00574CAE"/>
    <w:rsid w:val="00575FA3"/>
    <w:rsid w:val="00581BAC"/>
    <w:rsid w:val="0058367E"/>
    <w:rsid w:val="005931C6"/>
    <w:rsid w:val="00595CE3"/>
    <w:rsid w:val="005A6224"/>
    <w:rsid w:val="005C09D7"/>
    <w:rsid w:val="005C2B31"/>
    <w:rsid w:val="005D28CC"/>
    <w:rsid w:val="00600956"/>
    <w:rsid w:val="00604CBF"/>
    <w:rsid w:val="006158B4"/>
    <w:rsid w:val="0062077E"/>
    <w:rsid w:val="00620D5E"/>
    <w:rsid w:val="00624513"/>
    <w:rsid w:val="00627977"/>
    <w:rsid w:val="00627FEF"/>
    <w:rsid w:val="00630636"/>
    <w:rsid w:val="00637106"/>
    <w:rsid w:val="00640BD0"/>
    <w:rsid w:val="00642045"/>
    <w:rsid w:val="00644D66"/>
    <w:rsid w:val="00644DD4"/>
    <w:rsid w:val="00646C90"/>
    <w:rsid w:val="00650D77"/>
    <w:rsid w:val="00657479"/>
    <w:rsid w:val="0067216C"/>
    <w:rsid w:val="00684C93"/>
    <w:rsid w:val="00692EAE"/>
    <w:rsid w:val="006B0843"/>
    <w:rsid w:val="006B1804"/>
    <w:rsid w:val="006B30A0"/>
    <w:rsid w:val="006B32D7"/>
    <w:rsid w:val="006B6449"/>
    <w:rsid w:val="006C09FA"/>
    <w:rsid w:val="006C4E55"/>
    <w:rsid w:val="006C6A5D"/>
    <w:rsid w:val="006D41FB"/>
    <w:rsid w:val="006E1250"/>
    <w:rsid w:val="006E1958"/>
    <w:rsid w:val="006F77B8"/>
    <w:rsid w:val="00703090"/>
    <w:rsid w:val="00706E22"/>
    <w:rsid w:val="00714A7A"/>
    <w:rsid w:val="00716105"/>
    <w:rsid w:val="00716207"/>
    <w:rsid w:val="007164C6"/>
    <w:rsid w:val="00716A1B"/>
    <w:rsid w:val="007216A4"/>
    <w:rsid w:val="007235F2"/>
    <w:rsid w:val="007247EE"/>
    <w:rsid w:val="007337FC"/>
    <w:rsid w:val="00733E9B"/>
    <w:rsid w:val="007360FC"/>
    <w:rsid w:val="00740E04"/>
    <w:rsid w:val="0076197B"/>
    <w:rsid w:val="007658C7"/>
    <w:rsid w:val="0077766B"/>
    <w:rsid w:val="00777A8F"/>
    <w:rsid w:val="0078183A"/>
    <w:rsid w:val="007856F3"/>
    <w:rsid w:val="00786AA8"/>
    <w:rsid w:val="007908AF"/>
    <w:rsid w:val="00790BE2"/>
    <w:rsid w:val="007B0DAC"/>
    <w:rsid w:val="007B1E63"/>
    <w:rsid w:val="007D2F5A"/>
    <w:rsid w:val="007D6465"/>
    <w:rsid w:val="007E3014"/>
    <w:rsid w:val="007E44A5"/>
    <w:rsid w:val="007E5E02"/>
    <w:rsid w:val="0080251F"/>
    <w:rsid w:val="00807E38"/>
    <w:rsid w:val="008103DF"/>
    <w:rsid w:val="00817455"/>
    <w:rsid w:val="00820FDE"/>
    <w:rsid w:val="00823C1B"/>
    <w:rsid w:val="00823F98"/>
    <w:rsid w:val="00825455"/>
    <w:rsid w:val="008278E6"/>
    <w:rsid w:val="0083031E"/>
    <w:rsid w:val="00836654"/>
    <w:rsid w:val="00836A29"/>
    <w:rsid w:val="0084258E"/>
    <w:rsid w:val="008442F8"/>
    <w:rsid w:val="00861A16"/>
    <w:rsid w:val="0086668D"/>
    <w:rsid w:val="0086796C"/>
    <w:rsid w:val="00867B42"/>
    <w:rsid w:val="00871DBD"/>
    <w:rsid w:val="0087729E"/>
    <w:rsid w:val="00880771"/>
    <w:rsid w:val="008B212E"/>
    <w:rsid w:val="008C0A4B"/>
    <w:rsid w:val="008C19A5"/>
    <w:rsid w:val="008E30FB"/>
    <w:rsid w:val="008F17C7"/>
    <w:rsid w:val="008F6326"/>
    <w:rsid w:val="00901BFA"/>
    <w:rsid w:val="00901D26"/>
    <w:rsid w:val="009324C5"/>
    <w:rsid w:val="00941542"/>
    <w:rsid w:val="00941E1E"/>
    <w:rsid w:val="00943CA8"/>
    <w:rsid w:val="00945057"/>
    <w:rsid w:val="00955231"/>
    <w:rsid w:val="00970553"/>
    <w:rsid w:val="009867CE"/>
    <w:rsid w:val="0099078F"/>
    <w:rsid w:val="00994C31"/>
    <w:rsid w:val="009B086A"/>
    <w:rsid w:val="009B3393"/>
    <w:rsid w:val="009C022F"/>
    <w:rsid w:val="009C5EB5"/>
    <w:rsid w:val="009D0DEF"/>
    <w:rsid w:val="009D2A90"/>
    <w:rsid w:val="009D791D"/>
    <w:rsid w:val="009E28E4"/>
    <w:rsid w:val="009E3299"/>
    <w:rsid w:val="009F729B"/>
    <w:rsid w:val="00A1240D"/>
    <w:rsid w:val="00A12818"/>
    <w:rsid w:val="00A539A1"/>
    <w:rsid w:val="00A55933"/>
    <w:rsid w:val="00A60045"/>
    <w:rsid w:val="00A77867"/>
    <w:rsid w:val="00A94DD5"/>
    <w:rsid w:val="00AA39A4"/>
    <w:rsid w:val="00AA5765"/>
    <w:rsid w:val="00AB6BB7"/>
    <w:rsid w:val="00AD479F"/>
    <w:rsid w:val="00AD62F0"/>
    <w:rsid w:val="00AE32B4"/>
    <w:rsid w:val="00AE6D98"/>
    <w:rsid w:val="00AF0029"/>
    <w:rsid w:val="00AF23C2"/>
    <w:rsid w:val="00AF3D9E"/>
    <w:rsid w:val="00AF559D"/>
    <w:rsid w:val="00B00A79"/>
    <w:rsid w:val="00B01D5B"/>
    <w:rsid w:val="00B0396D"/>
    <w:rsid w:val="00B13391"/>
    <w:rsid w:val="00B15C88"/>
    <w:rsid w:val="00B210CD"/>
    <w:rsid w:val="00B365EC"/>
    <w:rsid w:val="00B46FD1"/>
    <w:rsid w:val="00B54946"/>
    <w:rsid w:val="00B56F6B"/>
    <w:rsid w:val="00B67129"/>
    <w:rsid w:val="00B71AC8"/>
    <w:rsid w:val="00B814E3"/>
    <w:rsid w:val="00B82626"/>
    <w:rsid w:val="00B945F0"/>
    <w:rsid w:val="00BA1987"/>
    <w:rsid w:val="00BA5F00"/>
    <w:rsid w:val="00BB497D"/>
    <w:rsid w:val="00BB6130"/>
    <w:rsid w:val="00BC5739"/>
    <w:rsid w:val="00BC643D"/>
    <w:rsid w:val="00BC6579"/>
    <w:rsid w:val="00BC7A98"/>
    <w:rsid w:val="00BD6998"/>
    <w:rsid w:val="00BE07BF"/>
    <w:rsid w:val="00BE4609"/>
    <w:rsid w:val="00BF7239"/>
    <w:rsid w:val="00C12448"/>
    <w:rsid w:val="00C135B6"/>
    <w:rsid w:val="00C24F26"/>
    <w:rsid w:val="00C45193"/>
    <w:rsid w:val="00C67A4C"/>
    <w:rsid w:val="00C76916"/>
    <w:rsid w:val="00C77F81"/>
    <w:rsid w:val="00C800DD"/>
    <w:rsid w:val="00CA0D29"/>
    <w:rsid w:val="00CA1720"/>
    <w:rsid w:val="00CC36F3"/>
    <w:rsid w:val="00CC71AF"/>
    <w:rsid w:val="00CD4CD0"/>
    <w:rsid w:val="00CD629E"/>
    <w:rsid w:val="00D0042B"/>
    <w:rsid w:val="00D141BC"/>
    <w:rsid w:val="00D171A2"/>
    <w:rsid w:val="00D27649"/>
    <w:rsid w:val="00D34387"/>
    <w:rsid w:val="00D36DEE"/>
    <w:rsid w:val="00D37346"/>
    <w:rsid w:val="00D40770"/>
    <w:rsid w:val="00D42098"/>
    <w:rsid w:val="00D43B4B"/>
    <w:rsid w:val="00D567D3"/>
    <w:rsid w:val="00D65C09"/>
    <w:rsid w:val="00D717F1"/>
    <w:rsid w:val="00D81AD7"/>
    <w:rsid w:val="00D81E1D"/>
    <w:rsid w:val="00D864D0"/>
    <w:rsid w:val="00D87109"/>
    <w:rsid w:val="00DB01B6"/>
    <w:rsid w:val="00DB051B"/>
    <w:rsid w:val="00DB1481"/>
    <w:rsid w:val="00DC0406"/>
    <w:rsid w:val="00DC3828"/>
    <w:rsid w:val="00DE45CF"/>
    <w:rsid w:val="00DF238A"/>
    <w:rsid w:val="00E049D4"/>
    <w:rsid w:val="00E0688D"/>
    <w:rsid w:val="00E148E5"/>
    <w:rsid w:val="00E173B3"/>
    <w:rsid w:val="00E27ADB"/>
    <w:rsid w:val="00E431D2"/>
    <w:rsid w:val="00E4390D"/>
    <w:rsid w:val="00E5434E"/>
    <w:rsid w:val="00E54EB7"/>
    <w:rsid w:val="00E676AC"/>
    <w:rsid w:val="00E703E1"/>
    <w:rsid w:val="00E838AE"/>
    <w:rsid w:val="00E86F09"/>
    <w:rsid w:val="00E952D9"/>
    <w:rsid w:val="00EA1755"/>
    <w:rsid w:val="00EA1FF7"/>
    <w:rsid w:val="00EA323B"/>
    <w:rsid w:val="00EC0DC2"/>
    <w:rsid w:val="00EE2EF4"/>
    <w:rsid w:val="00EE50E9"/>
    <w:rsid w:val="00EF0889"/>
    <w:rsid w:val="00EF11F6"/>
    <w:rsid w:val="00EF277F"/>
    <w:rsid w:val="00F04E62"/>
    <w:rsid w:val="00F060ED"/>
    <w:rsid w:val="00F2083A"/>
    <w:rsid w:val="00F37E5A"/>
    <w:rsid w:val="00F432DE"/>
    <w:rsid w:val="00F50F7D"/>
    <w:rsid w:val="00F65CB1"/>
    <w:rsid w:val="00F85BF1"/>
    <w:rsid w:val="00F9324E"/>
    <w:rsid w:val="00FA42D0"/>
    <w:rsid w:val="00FB4D90"/>
    <w:rsid w:val="00FB4E8F"/>
    <w:rsid w:val="00FC55C6"/>
    <w:rsid w:val="00FD4086"/>
    <w:rsid w:val="00FD7433"/>
    <w:rsid w:val="00FE1B74"/>
    <w:rsid w:val="00FF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9F14E"/>
  <w14:defaultImageDpi w14:val="32767"/>
  <w15:chartTrackingRefBased/>
  <w15:docId w15:val="{1F9A7351-7859-4D90-877D-DCC64DD8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raphik LCG TT Light" w:eastAsiaTheme="minorHAnsi" w:hAnsi="Graphik LCG TT Light" w:cstheme="minorBidi"/>
        <w:color w:val="000000" w:themeColor="text1"/>
        <w:spacing w:val="4"/>
        <w:sz w:val="21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sstext"/>
    <w:qFormat/>
    <w:rsid w:val="001603FB"/>
    <w:rPr>
      <w:rFonts w:ascii="Calibri" w:hAnsi="Calibri" w:cs="Calibri"/>
      <w:color w:val="auto"/>
      <w:spacing w:val="0"/>
      <w:sz w:val="22"/>
      <w:szCs w:val="22"/>
      <w:lang w:val="de-AT"/>
    </w:rPr>
  </w:style>
  <w:style w:type="paragraph" w:styleId="berschrift1">
    <w:name w:val="heading 1"/>
    <w:aliases w:val="HEADLINE 1"/>
    <w:basedOn w:val="Standard"/>
    <w:next w:val="Standard"/>
    <w:link w:val="berschrift1Zchn"/>
    <w:uiPriority w:val="9"/>
    <w:qFormat/>
    <w:rsid w:val="005332E0"/>
    <w:pPr>
      <w:keepNext/>
      <w:keepLines/>
      <w:numPr>
        <w:numId w:val="4"/>
      </w:numPr>
      <w:spacing w:after="60" w:line="320" w:lineRule="exact"/>
      <w:outlineLvl w:val="0"/>
    </w:pPr>
    <w:rPr>
      <w:rFonts w:ascii="Graphik LCG TT Light" w:eastAsiaTheme="majorEastAsia" w:hAnsi="Graphik LCG TT Light" w:cstheme="majorBidi"/>
      <w:color w:val="E52236" w:themeColor="accent1"/>
      <w:sz w:val="28"/>
      <w:szCs w:val="32"/>
      <w:lang w:val="de-DE"/>
    </w:rPr>
  </w:style>
  <w:style w:type="paragraph" w:styleId="berschrift2">
    <w:name w:val="heading 2"/>
    <w:aliases w:val="HEADLINE 2"/>
    <w:basedOn w:val="berschrift1"/>
    <w:next w:val="Standard"/>
    <w:link w:val="berschrift2Zchn"/>
    <w:uiPriority w:val="9"/>
    <w:unhideWhenUsed/>
    <w:qFormat/>
    <w:rsid w:val="005332E0"/>
    <w:pPr>
      <w:numPr>
        <w:ilvl w:val="1"/>
      </w:numPr>
      <w:spacing w:line="280" w:lineRule="exact"/>
      <w:outlineLvl w:val="1"/>
    </w:pPr>
    <w:rPr>
      <w:caps/>
      <w:sz w:val="21"/>
      <w:szCs w:val="26"/>
    </w:rPr>
  </w:style>
  <w:style w:type="paragraph" w:styleId="berschrift3">
    <w:name w:val="heading 3"/>
    <w:aliases w:val="HEADLINE 3"/>
    <w:basedOn w:val="berschrift2"/>
    <w:next w:val="Standard"/>
    <w:link w:val="berschrift3Zchn"/>
    <w:uiPriority w:val="9"/>
    <w:unhideWhenUsed/>
    <w:qFormat/>
    <w:rsid w:val="005332E0"/>
    <w:pPr>
      <w:numPr>
        <w:ilvl w:val="2"/>
      </w:numPr>
      <w:outlineLvl w:val="2"/>
    </w:pPr>
    <w:rPr>
      <w:bCs/>
      <w:caps w:val="0"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5332E0"/>
    <w:pPr>
      <w:keepNext/>
      <w:keepLines/>
      <w:numPr>
        <w:ilvl w:val="3"/>
        <w:numId w:val="4"/>
      </w:numPr>
      <w:spacing w:before="40" w:line="280" w:lineRule="atLeast"/>
      <w:jc w:val="both"/>
      <w:outlineLvl w:val="3"/>
    </w:pPr>
    <w:rPr>
      <w:rFonts w:ascii="Graphik LCG TT Light" w:eastAsiaTheme="majorEastAsia" w:hAnsi="Graphik LCG TT Light" w:cstheme="majorBidi"/>
      <w:color w:val="E52236" w:themeColor="accent1"/>
      <w:spacing w:val="4"/>
      <w:sz w:val="21"/>
      <w:szCs w:val="24"/>
      <w:lang w:val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332E0"/>
    <w:pPr>
      <w:keepNext/>
      <w:keepLines/>
      <w:numPr>
        <w:ilvl w:val="4"/>
        <w:numId w:val="4"/>
      </w:numPr>
      <w:spacing w:before="40" w:line="280" w:lineRule="atLeast"/>
      <w:jc w:val="both"/>
      <w:outlineLvl w:val="4"/>
    </w:pPr>
    <w:rPr>
      <w:rFonts w:asciiTheme="majorHAnsi" w:eastAsiaTheme="majorEastAsia" w:hAnsiTheme="majorHAnsi" w:cstheme="majorBidi"/>
      <w:color w:val="AF1424" w:themeColor="accent1" w:themeShade="BF"/>
      <w:spacing w:val="4"/>
      <w:sz w:val="21"/>
      <w:szCs w:val="24"/>
      <w:lang w:val="de-D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332E0"/>
    <w:pPr>
      <w:keepNext/>
      <w:keepLines/>
      <w:numPr>
        <w:ilvl w:val="5"/>
        <w:numId w:val="4"/>
      </w:numPr>
      <w:spacing w:before="40" w:line="280" w:lineRule="atLeast"/>
      <w:jc w:val="both"/>
      <w:outlineLvl w:val="5"/>
    </w:pPr>
    <w:rPr>
      <w:rFonts w:asciiTheme="majorHAnsi" w:eastAsiaTheme="majorEastAsia" w:hAnsiTheme="majorHAnsi" w:cstheme="majorBidi"/>
      <w:color w:val="740D18" w:themeColor="accent1" w:themeShade="7F"/>
      <w:spacing w:val="4"/>
      <w:sz w:val="21"/>
      <w:szCs w:val="24"/>
      <w:lang w:val="de-D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332E0"/>
    <w:pPr>
      <w:keepNext/>
      <w:keepLines/>
      <w:numPr>
        <w:ilvl w:val="6"/>
        <w:numId w:val="4"/>
      </w:numPr>
      <w:spacing w:before="40" w:line="280" w:lineRule="atLeast"/>
      <w:jc w:val="both"/>
      <w:outlineLvl w:val="6"/>
    </w:pPr>
    <w:rPr>
      <w:rFonts w:asciiTheme="majorHAnsi" w:eastAsiaTheme="majorEastAsia" w:hAnsiTheme="majorHAnsi" w:cstheme="majorBidi"/>
      <w:i/>
      <w:iCs/>
      <w:color w:val="740D18" w:themeColor="accent1" w:themeShade="7F"/>
      <w:spacing w:val="4"/>
      <w:sz w:val="21"/>
      <w:szCs w:val="24"/>
      <w:lang w:val="de-D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332E0"/>
    <w:pPr>
      <w:keepNext/>
      <w:keepLines/>
      <w:numPr>
        <w:ilvl w:val="7"/>
        <w:numId w:val="4"/>
      </w:numPr>
      <w:spacing w:before="40" w:line="280" w:lineRule="atLeast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pacing w:val="4"/>
      <w:sz w:val="21"/>
      <w:szCs w:val="21"/>
      <w:lang w:val="de-D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332E0"/>
    <w:pPr>
      <w:keepNext/>
      <w:keepLines/>
      <w:numPr>
        <w:ilvl w:val="8"/>
        <w:numId w:val="4"/>
      </w:numPr>
      <w:spacing w:before="40" w:line="280" w:lineRule="atLeast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1"/>
      <w:szCs w:val="21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Quellenangabe">
    <w:name w:val="Tabelle Quellenangabe"/>
    <w:basedOn w:val="Standard"/>
    <w:qFormat/>
    <w:rsid w:val="002200A9"/>
    <w:pPr>
      <w:spacing w:before="160" w:after="300" w:line="200" w:lineRule="exact"/>
    </w:pPr>
    <w:rPr>
      <w:rFonts w:ascii="Graphik LCG TT Light" w:hAnsi="Graphik LCG TT Light" w:cstheme="minorBidi"/>
      <w:iCs/>
      <w:color w:val="000000" w:themeColor="text1"/>
      <w:spacing w:val="4"/>
      <w:sz w:val="16"/>
      <w:szCs w:val="18"/>
      <w:lang w:val="de-DE"/>
    </w:rPr>
  </w:style>
  <w:style w:type="character" w:customStyle="1" w:styleId="berschrift1Zchn">
    <w:name w:val="Überschrift 1 Zchn"/>
    <w:aliases w:val="HEADLINE 1 Zchn"/>
    <w:basedOn w:val="Absatz-Standardschriftart"/>
    <w:link w:val="berschrift1"/>
    <w:uiPriority w:val="9"/>
    <w:rsid w:val="00817455"/>
    <w:rPr>
      <w:rFonts w:ascii="Graphik LCG Light" w:eastAsiaTheme="majorEastAsia" w:hAnsi="Graphik LCG Light" w:cstheme="majorBidi"/>
      <w:color w:val="E52236" w:themeColor="accent1"/>
      <w:sz w:val="28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0D3840"/>
    <w:pPr>
      <w:tabs>
        <w:tab w:val="center" w:pos="4536"/>
        <w:tab w:val="right" w:pos="9072"/>
      </w:tabs>
      <w:spacing w:line="280" w:lineRule="atLeast"/>
    </w:pPr>
    <w:rPr>
      <w:rFonts w:ascii="Graphik LCG TT Light" w:hAnsi="Graphik LCG TT Light" w:cstheme="minorBidi"/>
      <w:caps/>
      <w:color w:val="000000" w:themeColor="text1"/>
      <w:spacing w:val="6"/>
      <w:sz w:val="16"/>
      <w:szCs w:val="24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D3840"/>
    <w:rPr>
      <w:rFonts w:ascii="Graphik LCG Light" w:hAnsi="Graphik LCG Light"/>
      <w:caps/>
      <w:color w:val="000000" w:themeColor="text1"/>
      <w:spacing w:val="6"/>
      <w:sz w:val="16"/>
    </w:rPr>
  </w:style>
  <w:style w:type="paragraph" w:styleId="Fuzeile">
    <w:name w:val="footer"/>
    <w:basedOn w:val="Standard"/>
    <w:link w:val="FuzeileZchn"/>
    <w:uiPriority w:val="99"/>
    <w:unhideWhenUsed/>
    <w:rsid w:val="00486F0B"/>
    <w:pPr>
      <w:widowControl w:val="0"/>
      <w:tabs>
        <w:tab w:val="center" w:pos="4536"/>
        <w:tab w:val="left" w:pos="6180"/>
        <w:tab w:val="right" w:pos="8611"/>
        <w:tab w:val="right" w:pos="9072"/>
      </w:tabs>
      <w:ind w:firstLine="567"/>
      <w:jc w:val="right"/>
    </w:pPr>
    <w:rPr>
      <w:rFonts w:ascii="Graphik LCG TT Light" w:hAnsi="Graphik LCG TT Light" w:cstheme="minorBidi"/>
      <w:color w:val="E52236" w:themeColor="accent1"/>
      <w:spacing w:val="4"/>
      <w:sz w:val="24"/>
      <w:szCs w:val="24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486F0B"/>
    <w:rPr>
      <w:rFonts w:ascii="Graphik LCG Light" w:hAnsi="Graphik LCG Light"/>
      <w:color w:val="E52236" w:themeColor="accent1"/>
      <w:spacing w:val="4"/>
    </w:rPr>
  </w:style>
  <w:style w:type="table" w:styleId="Tabellenraster">
    <w:name w:val="Table Grid"/>
    <w:basedOn w:val="NormaleTabelle"/>
    <w:uiPriority w:val="39"/>
    <w:rsid w:val="00871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3232"/>
    <w:pPr>
      <w:ind w:firstLine="567"/>
      <w:jc w:val="both"/>
    </w:pPr>
    <w:rPr>
      <w:rFonts w:ascii="Times New Roman" w:hAnsi="Times New Roman" w:cs="Times New Roman"/>
      <w:color w:val="000000" w:themeColor="text1"/>
      <w:spacing w:val="4"/>
      <w:sz w:val="21"/>
      <w:szCs w:val="18"/>
      <w:lang w:val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3232"/>
    <w:rPr>
      <w:rFonts w:ascii="Times New Roman" w:hAnsi="Times New Roman" w:cs="Times New Roman"/>
      <w:color w:val="000000" w:themeColor="text1"/>
      <w:spacing w:val="4"/>
      <w:sz w:val="18"/>
      <w:szCs w:val="18"/>
    </w:rPr>
  </w:style>
  <w:style w:type="paragraph" w:styleId="Listenabsatz">
    <w:name w:val="List Paragraph"/>
    <w:basedOn w:val="Standard"/>
    <w:uiPriority w:val="34"/>
    <w:qFormat/>
    <w:rsid w:val="005538A8"/>
    <w:pPr>
      <w:spacing w:line="280" w:lineRule="atLeast"/>
      <w:ind w:left="720" w:firstLine="567"/>
      <w:contextualSpacing/>
      <w:jc w:val="both"/>
    </w:pPr>
    <w:rPr>
      <w:rFonts w:ascii="Graphik LCG TT Light" w:hAnsi="Graphik LCG TT Light" w:cstheme="minorBidi"/>
      <w:color w:val="000000" w:themeColor="text1"/>
      <w:spacing w:val="4"/>
      <w:sz w:val="21"/>
      <w:szCs w:val="24"/>
      <w:lang w:val="de-DE"/>
    </w:rPr>
  </w:style>
  <w:style w:type="paragraph" w:customStyle="1" w:styleId="Subheadline">
    <w:name w:val="Subheadline"/>
    <w:basedOn w:val="Headline"/>
    <w:qFormat/>
    <w:rsid w:val="00817455"/>
    <w:pPr>
      <w:spacing w:line="320" w:lineRule="exact"/>
    </w:pPr>
    <w:rPr>
      <w:caps/>
      <w:sz w:val="28"/>
    </w:rPr>
  </w:style>
  <w:style w:type="numbering" w:styleId="111111">
    <w:name w:val="Outline List 2"/>
    <w:basedOn w:val="KeineListe"/>
    <w:uiPriority w:val="99"/>
    <w:semiHidden/>
    <w:unhideWhenUsed/>
    <w:rsid w:val="00CC71AF"/>
    <w:pPr>
      <w:numPr>
        <w:numId w:val="3"/>
      </w:numPr>
    </w:pPr>
  </w:style>
  <w:style w:type="paragraph" w:styleId="Funotentext">
    <w:name w:val="footnote text"/>
    <w:basedOn w:val="Standard"/>
    <w:link w:val="FunotentextZchn"/>
    <w:uiPriority w:val="99"/>
    <w:unhideWhenUsed/>
    <w:rsid w:val="0054028E"/>
    <w:pPr>
      <w:spacing w:after="60" w:line="160" w:lineRule="exact"/>
      <w:jc w:val="both"/>
    </w:pPr>
    <w:rPr>
      <w:rFonts w:ascii="Graphik LCG" w:hAnsi="Graphik LCG" w:cstheme="minorBidi"/>
      <w:color w:val="000000" w:themeColor="text1"/>
      <w:spacing w:val="4"/>
      <w:sz w:val="13"/>
      <w:szCs w:val="24"/>
      <w:lang w:val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4028E"/>
    <w:rPr>
      <w:rFonts w:ascii="Graphik LCG" w:hAnsi="Graphik LCG"/>
      <w:color w:val="000000" w:themeColor="text1"/>
      <w:spacing w:val="4"/>
      <w:sz w:val="13"/>
    </w:rPr>
  </w:style>
  <w:style w:type="character" w:styleId="Funotenzeichen">
    <w:name w:val="footnote reference"/>
    <w:basedOn w:val="Absatz-Standardschriftart"/>
    <w:uiPriority w:val="99"/>
    <w:unhideWhenUsed/>
    <w:rsid w:val="00486F0B"/>
    <w:rPr>
      <w:rFonts w:ascii="Graphik LCG Light" w:hAnsi="Graphik LCG Light"/>
      <w:b w:val="0"/>
      <w:bCs w:val="0"/>
      <w:i w:val="0"/>
      <w:iCs w:val="0"/>
      <w:sz w:val="16"/>
      <w:vertAlign w:val="superscript"/>
    </w:rPr>
  </w:style>
  <w:style w:type="character" w:customStyle="1" w:styleId="berschrift2Zchn">
    <w:name w:val="Überschrift 2 Zchn"/>
    <w:aliases w:val="HEADLINE 2 Zchn"/>
    <w:basedOn w:val="Absatz-Standardschriftart"/>
    <w:link w:val="berschrift2"/>
    <w:uiPriority w:val="9"/>
    <w:rsid w:val="005332E0"/>
    <w:rPr>
      <w:rFonts w:ascii="Graphik LCG Light" w:eastAsiaTheme="majorEastAsia" w:hAnsi="Graphik LCG Light" w:cstheme="majorBidi"/>
      <w:caps/>
      <w:color w:val="E52236" w:themeColor="accent1"/>
      <w:sz w:val="21"/>
      <w:szCs w:val="26"/>
    </w:rPr>
  </w:style>
  <w:style w:type="character" w:customStyle="1" w:styleId="berschrift3Zchn">
    <w:name w:val="Überschrift 3 Zchn"/>
    <w:aliases w:val="HEADLINE 3 Zchn"/>
    <w:basedOn w:val="Absatz-Standardschriftart"/>
    <w:link w:val="berschrift3"/>
    <w:uiPriority w:val="9"/>
    <w:rsid w:val="005332E0"/>
    <w:rPr>
      <w:rFonts w:ascii="Graphik LCG Light" w:eastAsiaTheme="majorEastAsia" w:hAnsi="Graphik LCG Light" w:cstheme="majorBidi"/>
      <w:bCs/>
      <w:color w:val="000000" w:themeColor="text1"/>
      <w:sz w:val="21"/>
      <w:szCs w:val="26"/>
    </w:rPr>
  </w:style>
  <w:style w:type="paragraph" w:styleId="Inhaltsverzeichnisberschrift">
    <w:name w:val="TOC Heading"/>
    <w:basedOn w:val="Headline"/>
    <w:next w:val="Standard"/>
    <w:uiPriority w:val="39"/>
    <w:unhideWhenUsed/>
    <w:rsid w:val="00FC55C6"/>
    <w:pPr>
      <w:spacing w:before="480" w:line="276" w:lineRule="auto"/>
      <w:jc w:val="left"/>
    </w:pPr>
    <w:rPr>
      <w:szCs w:val="28"/>
      <w:lang w:val="en-GB" w:eastAsia="de-DE"/>
    </w:rPr>
  </w:style>
  <w:style w:type="paragraph" w:styleId="Verzeichnis1">
    <w:name w:val="toc 1"/>
    <w:basedOn w:val="Standard"/>
    <w:uiPriority w:val="39"/>
    <w:unhideWhenUsed/>
    <w:rsid w:val="00EE2EF4"/>
    <w:pPr>
      <w:tabs>
        <w:tab w:val="left" w:pos="567"/>
      </w:tabs>
      <w:spacing w:before="120" w:line="320" w:lineRule="exact"/>
    </w:pPr>
    <w:rPr>
      <w:rFonts w:ascii="Graphik LCG TT Light" w:hAnsi="Graphik LCG TT Light" w:cstheme="minorHAnsi"/>
      <w:bCs/>
      <w:color w:val="E52236" w:themeColor="accent1"/>
      <w:spacing w:val="4"/>
      <w:sz w:val="21"/>
      <w:szCs w:val="24"/>
      <w:lang w:val="de-DE"/>
    </w:rPr>
  </w:style>
  <w:style w:type="paragraph" w:styleId="Verzeichnis2">
    <w:name w:val="toc 2"/>
    <w:basedOn w:val="Standard"/>
    <w:next w:val="Standard"/>
    <w:uiPriority w:val="39"/>
    <w:unhideWhenUsed/>
    <w:rsid w:val="00EE2EF4"/>
    <w:pPr>
      <w:tabs>
        <w:tab w:val="left" w:pos="567"/>
      </w:tabs>
      <w:spacing w:line="280" w:lineRule="atLeast"/>
    </w:pPr>
    <w:rPr>
      <w:rFonts w:ascii="Graphik LCG TT Light" w:hAnsi="Graphik LCG TT Light" w:cstheme="minorHAnsi"/>
      <w:bCs/>
      <w:color w:val="000000" w:themeColor="text1"/>
      <w:spacing w:val="4"/>
      <w:sz w:val="21"/>
      <w:lang w:val="de-DE"/>
    </w:rPr>
  </w:style>
  <w:style w:type="paragraph" w:styleId="Verzeichnis3">
    <w:name w:val="toc 3"/>
    <w:basedOn w:val="Standard"/>
    <w:uiPriority w:val="39"/>
    <w:unhideWhenUsed/>
    <w:rsid w:val="00EE2EF4"/>
    <w:pPr>
      <w:tabs>
        <w:tab w:val="left" w:pos="567"/>
      </w:tabs>
      <w:spacing w:line="280" w:lineRule="atLeast"/>
      <w:ind w:left="567"/>
    </w:pPr>
    <w:rPr>
      <w:rFonts w:ascii="Graphik LCG TT Light" w:hAnsi="Graphik LCG TT Light" w:cstheme="minorHAnsi"/>
      <w:color w:val="000000" w:themeColor="text1"/>
      <w:spacing w:val="4"/>
      <w:sz w:val="21"/>
      <w:lang w:val="de-DE"/>
    </w:rPr>
  </w:style>
  <w:style w:type="character" w:styleId="Hyperlink">
    <w:name w:val="Hyperlink"/>
    <w:basedOn w:val="Absatz-Standardschriftart"/>
    <w:uiPriority w:val="99"/>
    <w:unhideWhenUsed/>
    <w:qFormat/>
    <w:rsid w:val="00817455"/>
    <w:rPr>
      <w:rFonts w:ascii="Graphik LCG Light" w:hAnsi="Graphik LCG Light"/>
      <w:b w:val="0"/>
      <w:bCs w:val="0"/>
      <w:i w:val="0"/>
      <w:iCs w:val="0"/>
      <w:color w:val="E52236" w:themeColor="accent1"/>
      <w:sz w:val="21"/>
      <w:u w:val="single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9324C5"/>
    <w:pPr>
      <w:spacing w:line="280" w:lineRule="atLeast"/>
      <w:ind w:left="630" w:firstLine="567"/>
    </w:pPr>
    <w:rPr>
      <w:rFonts w:asciiTheme="minorHAnsi" w:hAnsiTheme="minorHAnsi" w:cstheme="minorHAnsi"/>
      <w:color w:val="000000" w:themeColor="text1"/>
      <w:spacing w:val="4"/>
      <w:sz w:val="20"/>
      <w:szCs w:val="20"/>
      <w:lang w:val="de-DE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9324C5"/>
    <w:pPr>
      <w:spacing w:line="280" w:lineRule="atLeast"/>
      <w:ind w:left="840" w:firstLine="567"/>
    </w:pPr>
    <w:rPr>
      <w:rFonts w:asciiTheme="minorHAnsi" w:hAnsiTheme="minorHAnsi" w:cstheme="minorHAnsi"/>
      <w:color w:val="000000" w:themeColor="text1"/>
      <w:spacing w:val="4"/>
      <w:sz w:val="20"/>
      <w:szCs w:val="20"/>
      <w:lang w:val="de-DE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9324C5"/>
    <w:pPr>
      <w:spacing w:line="280" w:lineRule="atLeast"/>
      <w:ind w:left="1050" w:firstLine="567"/>
    </w:pPr>
    <w:rPr>
      <w:rFonts w:asciiTheme="minorHAnsi" w:hAnsiTheme="minorHAnsi" w:cstheme="minorHAnsi"/>
      <w:color w:val="000000" w:themeColor="text1"/>
      <w:spacing w:val="4"/>
      <w:sz w:val="20"/>
      <w:szCs w:val="20"/>
      <w:lang w:val="de-DE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9324C5"/>
    <w:pPr>
      <w:spacing w:line="280" w:lineRule="atLeast"/>
      <w:ind w:left="1260" w:firstLine="567"/>
    </w:pPr>
    <w:rPr>
      <w:rFonts w:asciiTheme="minorHAnsi" w:hAnsiTheme="minorHAnsi" w:cstheme="minorHAnsi"/>
      <w:color w:val="000000" w:themeColor="text1"/>
      <w:spacing w:val="4"/>
      <w:sz w:val="20"/>
      <w:szCs w:val="20"/>
      <w:lang w:val="de-DE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9324C5"/>
    <w:pPr>
      <w:spacing w:line="280" w:lineRule="atLeast"/>
      <w:ind w:left="1470" w:firstLine="567"/>
    </w:pPr>
    <w:rPr>
      <w:rFonts w:asciiTheme="minorHAnsi" w:hAnsiTheme="minorHAnsi" w:cstheme="minorHAnsi"/>
      <w:color w:val="000000" w:themeColor="text1"/>
      <w:spacing w:val="4"/>
      <w:sz w:val="20"/>
      <w:szCs w:val="20"/>
      <w:lang w:val="de-DE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9324C5"/>
    <w:pPr>
      <w:spacing w:line="280" w:lineRule="atLeast"/>
      <w:ind w:left="1680" w:firstLine="567"/>
    </w:pPr>
    <w:rPr>
      <w:rFonts w:asciiTheme="minorHAnsi" w:hAnsiTheme="minorHAnsi" w:cstheme="minorHAnsi"/>
      <w:color w:val="000000" w:themeColor="text1"/>
      <w:spacing w:val="4"/>
      <w:sz w:val="20"/>
      <w:szCs w:val="20"/>
      <w:lang w:val="de-DE"/>
    </w:rPr>
  </w:style>
  <w:style w:type="paragraph" w:customStyle="1" w:styleId="Headline">
    <w:name w:val="Headline"/>
    <w:basedOn w:val="Standard"/>
    <w:qFormat/>
    <w:rsid w:val="00817455"/>
    <w:pPr>
      <w:spacing w:line="680" w:lineRule="exact"/>
      <w:contextualSpacing/>
      <w:jc w:val="center"/>
    </w:pPr>
    <w:rPr>
      <w:rFonts w:ascii="Graphik LCG TT Light" w:hAnsi="Graphik LCG TT Light" w:cstheme="minorBidi"/>
      <w:color w:val="E52236" w:themeColor="accent1"/>
      <w:spacing w:val="4"/>
      <w:sz w:val="64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86F0B"/>
    <w:rPr>
      <w:rFonts w:ascii="Graphik LCG Light" w:eastAsiaTheme="majorEastAsia" w:hAnsi="Graphik LCG Light" w:cstheme="majorBidi"/>
      <w:color w:val="E52236" w:themeColor="accent1"/>
      <w:spacing w:val="4"/>
      <w:sz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B4E8F"/>
    <w:rPr>
      <w:rFonts w:asciiTheme="majorHAnsi" w:eastAsiaTheme="majorEastAsia" w:hAnsiTheme="majorHAnsi" w:cstheme="majorBidi"/>
      <w:color w:val="AF1424" w:themeColor="accent1" w:themeShade="BF"/>
      <w:spacing w:val="4"/>
      <w:sz w:val="1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B4E8F"/>
    <w:rPr>
      <w:rFonts w:asciiTheme="majorHAnsi" w:eastAsiaTheme="majorEastAsia" w:hAnsiTheme="majorHAnsi" w:cstheme="majorBidi"/>
      <w:color w:val="740D18" w:themeColor="accent1" w:themeShade="7F"/>
      <w:spacing w:val="4"/>
      <w:sz w:val="1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B4E8F"/>
    <w:rPr>
      <w:rFonts w:asciiTheme="majorHAnsi" w:eastAsiaTheme="majorEastAsia" w:hAnsiTheme="majorHAnsi" w:cstheme="majorBidi"/>
      <w:i/>
      <w:iCs/>
      <w:color w:val="740D18" w:themeColor="accent1" w:themeShade="7F"/>
      <w:spacing w:val="4"/>
      <w:sz w:val="1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B4E8F"/>
    <w:rPr>
      <w:rFonts w:asciiTheme="majorHAnsi" w:eastAsiaTheme="majorEastAsia" w:hAnsiTheme="majorHAnsi" w:cstheme="majorBidi"/>
      <w:color w:val="272727" w:themeColor="text1" w:themeTint="D8"/>
      <w:spacing w:val="4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B4E8F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1"/>
      <w:szCs w:val="21"/>
    </w:rPr>
  </w:style>
  <w:style w:type="paragraph" w:customStyle="1" w:styleId="TabelleTitel">
    <w:name w:val="Tabelle Titel"/>
    <w:basedOn w:val="Standard"/>
    <w:qFormat/>
    <w:rsid w:val="007856F3"/>
    <w:pPr>
      <w:spacing w:before="280" w:after="100" w:line="280" w:lineRule="atLeast"/>
    </w:pPr>
    <w:rPr>
      <w:rFonts w:ascii="Graphik LCG TT Light" w:hAnsi="Graphik LCG TT Light" w:cstheme="minorBidi"/>
      <w:caps/>
      <w:color w:val="E52236" w:themeColor="accent1"/>
      <w:spacing w:val="4"/>
      <w:sz w:val="21"/>
      <w:szCs w:val="24"/>
      <w:lang w:val="de-DE"/>
    </w:rPr>
  </w:style>
  <w:style w:type="paragraph" w:customStyle="1" w:styleId="TabelleTextRot">
    <w:name w:val="Tabelle Text Rot"/>
    <w:basedOn w:val="TabelleTextSchwarz"/>
    <w:qFormat/>
    <w:rsid w:val="00BA5F00"/>
    <w:pPr>
      <w:spacing w:line="240" w:lineRule="auto"/>
    </w:pPr>
    <w:rPr>
      <w:color w:val="E52236" w:themeColor="accent1"/>
    </w:rPr>
  </w:style>
  <w:style w:type="paragraph" w:customStyle="1" w:styleId="TabelleTextSchwarz">
    <w:name w:val="Tabelle Text Schwarz"/>
    <w:basedOn w:val="Standard"/>
    <w:qFormat/>
    <w:rsid w:val="00BA5F00"/>
    <w:pPr>
      <w:spacing w:line="240" w:lineRule="exact"/>
      <w:jc w:val="right"/>
    </w:pPr>
    <w:rPr>
      <w:rFonts w:ascii="Graphik LCG" w:hAnsi="Graphik LCG" w:cstheme="minorBidi"/>
      <w:color w:val="000000" w:themeColor="text1"/>
      <w:spacing w:val="4"/>
      <w:sz w:val="18"/>
      <w:szCs w:val="24"/>
      <w:lang w:val="de-DE"/>
    </w:rPr>
  </w:style>
  <w:style w:type="paragraph" w:customStyle="1" w:styleId="HeadlineDeckblatt">
    <w:name w:val="Headline Deckblatt"/>
    <w:basedOn w:val="Headline"/>
    <w:qFormat/>
    <w:rsid w:val="00817455"/>
    <w:pPr>
      <w:spacing w:line="1520" w:lineRule="exact"/>
    </w:pPr>
    <w:rPr>
      <w:sz w:val="140"/>
    </w:rPr>
  </w:style>
  <w:style w:type="character" w:styleId="Hervorhebung">
    <w:name w:val="Emphasis"/>
    <w:basedOn w:val="Absatz-Standardschriftart"/>
    <w:uiPriority w:val="20"/>
    <w:qFormat/>
    <w:rsid w:val="006B6449"/>
    <w:rPr>
      <w:rFonts w:ascii="Graphik LCG Light" w:hAnsi="Graphik LCG Light"/>
      <w:b w:val="0"/>
      <w:i w:val="0"/>
      <w:iCs/>
      <w:color w:val="E52236" w:themeColor="accent1"/>
      <w:sz w:val="21"/>
      <w:u w:val="none"/>
    </w:rPr>
  </w:style>
  <w:style w:type="paragraph" w:customStyle="1" w:styleId="Aufzhlung">
    <w:name w:val="Aufzählung"/>
    <w:basedOn w:val="Standard"/>
    <w:qFormat/>
    <w:rsid w:val="003865DB"/>
    <w:pPr>
      <w:numPr>
        <w:numId w:val="41"/>
      </w:numPr>
      <w:spacing w:after="120" w:line="280" w:lineRule="atLeast"/>
      <w:jc w:val="both"/>
    </w:pPr>
    <w:rPr>
      <w:rFonts w:ascii="Graphik LCG TT Light" w:hAnsi="Graphik LCG TT Light" w:cstheme="minorBidi"/>
      <w:color w:val="000000" w:themeColor="text1"/>
      <w:spacing w:val="4"/>
      <w:sz w:val="21"/>
      <w:szCs w:val="24"/>
      <w:lang w:val="en-US"/>
    </w:rPr>
  </w:style>
  <w:style w:type="paragraph" w:customStyle="1" w:styleId="Nummerierung">
    <w:name w:val="Nummerierung"/>
    <w:basedOn w:val="Aufzhlung"/>
    <w:qFormat/>
    <w:rsid w:val="003865DB"/>
    <w:pPr>
      <w:numPr>
        <w:numId w:val="38"/>
      </w:numPr>
    </w:pPr>
  </w:style>
  <w:style w:type="paragraph" w:customStyle="1" w:styleId="Bildunterschrift">
    <w:name w:val="Bildunterschrift"/>
    <w:basedOn w:val="TabelleQuellenangabe"/>
    <w:qFormat/>
    <w:rsid w:val="002200A9"/>
    <w:rPr>
      <w:color w:val="E52236" w:themeColor="accent1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EA1FF7"/>
    <w:rPr>
      <w:color w:val="808080"/>
    </w:rPr>
  </w:style>
  <w:style w:type="paragraph" w:styleId="berarbeitung">
    <w:name w:val="Revision"/>
    <w:hidden/>
    <w:uiPriority w:val="99"/>
    <w:semiHidden/>
    <w:rsid w:val="004620A7"/>
    <w:rPr>
      <w:rFonts w:ascii="Calibri" w:hAnsi="Calibri" w:cs="Calibri"/>
      <w:color w:val="auto"/>
      <w:spacing w:val="0"/>
      <w:sz w:val="22"/>
      <w:szCs w:val="22"/>
      <w:lang w:val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47C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0251F"/>
    <w:rPr>
      <w:color w:val="D5D5D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9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2b.wien.info/de/newsroom/corporate-news/statistik-halbjahresbilanz-2024-67697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e-therese.tropsch@wien.inf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alter.strasser@wien.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2b.wien.info/de/statistik/daten/statistik-aktuel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WT_Farbpalette 1">
      <a:dk1>
        <a:srgbClr val="000000"/>
      </a:dk1>
      <a:lt1>
        <a:srgbClr val="FFFFFF"/>
      </a:lt1>
      <a:dk2>
        <a:srgbClr val="000000"/>
      </a:dk2>
      <a:lt2>
        <a:srgbClr val="F8F8F8"/>
      </a:lt2>
      <a:accent1>
        <a:srgbClr val="E52236"/>
      </a:accent1>
      <a:accent2>
        <a:srgbClr val="424242"/>
      </a:accent2>
      <a:accent3>
        <a:srgbClr val="797979"/>
      </a:accent3>
      <a:accent4>
        <a:srgbClr val="A9A9A9"/>
      </a:accent4>
      <a:accent5>
        <a:srgbClr val="D5D5D5"/>
      </a:accent5>
      <a:accent6>
        <a:srgbClr val="EAEAEA"/>
      </a:accent6>
      <a:hlink>
        <a:srgbClr val="797979"/>
      </a:hlink>
      <a:folHlink>
        <a:srgbClr val="D5D5D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3FAB5E5-21CA-43B0-B8E0-9B5284CEF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5171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WienTourismus</vt:lpstr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WienTourismus</dc:title>
  <dc:subject/>
  <dc:creator>Tropsch, Marie-Therese</dc:creator>
  <cp:keywords/>
  <dc:description/>
  <cp:lastModifiedBy>Tropsch, Marie-Therese</cp:lastModifiedBy>
  <cp:revision>8</cp:revision>
  <cp:lastPrinted>2024-07-16T12:29:00Z</cp:lastPrinted>
  <dcterms:created xsi:type="dcterms:W3CDTF">2024-07-17T12:19:00Z</dcterms:created>
  <dcterms:modified xsi:type="dcterms:W3CDTF">2024-07-29T14:20:00Z</dcterms:modified>
</cp:coreProperties>
</file>