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8C25" w14:textId="78011E45" w:rsidR="000F230F" w:rsidRPr="00A91912" w:rsidRDefault="00C0761E" w:rsidP="000F230F">
      <w:pPr>
        <w:pStyle w:val="Headline"/>
        <w:spacing w:before="0"/>
        <w:rPr>
          <w:rFonts w:asciiTheme="minorHAnsi" w:eastAsiaTheme="minorHAnsi" w:hAnsiTheme="minorHAnsi" w:cstheme="minorHAnsi"/>
          <w:spacing w:val="4"/>
          <w:lang w:val="es-ES"/>
        </w:rPr>
      </w:pPr>
      <w:r>
        <w:rPr>
          <w:rFonts w:asciiTheme="minorHAnsi" w:eastAsiaTheme="minorHAnsi" w:hAnsiTheme="minorHAnsi" w:cstheme="minorHAnsi"/>
          <w:lang w:val="es"/>
        </w:rPr>
        <w:t xml:space="preserve">Visión y </w:t>
      </w:r>
      <w:r w:rsidR="005704E0">
        <w:rPr>
          <w:rFonts w:asciiTheme="minorHAnsi" w:eastAsiaTheme="minorHAnsi" w:hAnsiTheme="minorHAnsi" w:cstheme="minorHAnsi"/>
          <w:lang w:val="es"/>
        </w:rPr>
        <w:t>despertar</w:t>
      </w:r>
    </w:p>
    <w:p w14:paraId="3AEC695E" w14:textId="50D4A41D" w:rsidR="000F230F" w:rsidRPr="00A91912" w:rsidRDefault="00C0761E" w:rsidP="000F230F">
      <w:pPr>
        <w:pStyle w:val="Headline"/>
        <w:spacing w:before="0"/>
        <w:rPr>
          <w:rFonts w:asciiTheme="minorHAnsi" w:eastAsiaTheme="minorHAnsi" w:hAnsiTheme="minorHAnsi" w:cstheme="minorHAnsi"/>
          <w:spacing w:val="4"/>
          <w:sz w:val="52"/>
          <w:szCs w:val="52"/>
          <w:lang w:val="es-ES"/>
        </w:rPr>
      </w:pPr>
      <w:r>
        <w:rPr>
          <w:rFonts w:asciiTheme="minorHAnsi" w:eastAsiaTheme="minorHAnsi" w:hAnsiTheme="minorHAnsi" w:cstheme="minorHAnsi"/>
          <w:sz w:val="52"/>
          <w:szCs w:val="52"/>
          <w:lang w:val="es"/>
        </w:rPr>
        <w:t>150 a</w:t>
      </w:r>
      <w:r w:rsidR="005704E0">
        <w:rPr>
          <w:rFonts w:asciiTheme="minorHAnsi" w:eastAsiaTheme="minorHAnsi" w:hAnsiTheme="minorHAnsi" w:cstheme="minorHAnsi"/>
          <w:sz w:val="52"/>
          <w:szCs w:val="52"/>
          <w:lang w:val="es"/>
        </w:rPr>
        <w:t xml:space="preserve">niversario de </w:t>
      </w:r>
      <w:r>
        <w:rPr>
          <w:rFonts w:asciiTheme="minorHAnsi" w:eastAsiaTheme="minorHAnsi" w:hAnsiTheme="minorHAnsi" w:cstheme="minorHAnsi"/>
          <w:sz w:val="52"/>
          <w:szCs w:val="52"/>
          <w:lang w:val="es"/>
        </w:rPr>
        <w:t xml:space="preserve">la Exposición </w:t>
      </w:r>
      <w:r w:rsidR="005704E0">
        <w:rPr>
          <w:rFonts w:asciiTheme="minorHAnsi" w:eastAsiaTheme="minorHAnsi" w:hAnsiTheme="minorHAnsi" w:cstheme="minorHAnsi"/>
          <w:sz w:val="52"/>
          <w:szCs w:val="52"/>
          <w:lang w:val="es"/>
        </w:rPr>
        <w:t>Un</w:t>
      </w:r>
      <w:r>
        <w:rPr>
          <w:rFonts w:asciiTheme="minorHAnsi" w:eastAsiaTheme="minorHAnsi" w:hAnsiTheme="minorHAnsi" w:cstheme="minorHAnsi"/>
          <w:sz w:val="52"/>
          <w:szCs w:val="52"/>
          <w:lang w:val="es"/>
        </w:rPr>
        <w:t>iversal</w:t>
      </w:r>
      <w:r w:rsidR="005704E0">
        <w:rPr>
          <w:rFonts w:asciiTheme="minorHAnsi" w:eastAsiaTheme="minorHAnsi" w:hAnsiTheme="minorHAnsi" w:cstheme="minorHAnsi"/>
          <w:sz w:val="52"/>
          <w:szCs w:val="52"/>
          <w:lang w:val="es"/>
        </w:rPr>
        <w:t xml:space="preserve"> </w:t>
      </w:r>
      <w:r>
        <w:rPr>
          <w:rFonts w:asciiTheme="minorHAnsi" w:eastAsiaTheme="minorHAnsi" w:hAnsiTheme="minorHAnsi" w:cstheme="minorHAnsi"/>
          <w:sz w:val="52"/>
          <w:szCs w:val="52"/>
          <w:lang w:val="es"/>
        </w:rPr>
        <w:t>de Viena</w:t>
      </w:r>
    </w:p>
    <w:p w14:paraId="70BEFCEC" w14:textId="0CC79140" w:rsidR="00C0761E" w:rsidRPr="00A91912" w:rsidRDefault="005704E0" w:rsidP="000F230F">
      <w:pPr>
        <w:pStyle w:val="Headline"/>
        <w:spacing w:before="0"/>
        <w:rPr>
          <w:rFonts w:asciiTheme="minorHAnsi" w:eastAsiaTheme="minorHAnsi" w:hAnsiTheme="minorHAnsi" w:cstheme="minorHAnsi"/>
          <w:spacing w:val="4"/>
          <w:sz w:val="52"/>
          <w:szCs w:val="52"/>
          <w:lang w:val="es-ES"/>
        </w:rPr>
      </w:pPr>
      <w:r>
        <w:rPr>
          <w:rFonts w:asciiTheme="minorHAnsi" w:eastAsiaTheme="minorHAnsi" w:hAnsiTheme="minorHAnsi" w:cstheme="minorHAnsi"/>
          <w:sz w:val="52"/>
          <w:szCs w:val="52"/>
          <w:lang w:val="es-ES"/>
        </w:rPr>
        <w:t>Imagina un mundo nuevo</w:t>
      </w:r>
    </w:p>
    <w:p w14:paraId="1A9313A4" w14:textId="77777777" w:rsidR="000F230F" w:rsidRPr="00A91912" w:rsidRDefault="000F230F" w:rsidP="000F230F">
      <w:pPr>
        <w:pStyle w:val="AdressKopf"/>
        <w:jc w:val="both"/>
        <w:rPr>
          <w:rFonts w:asciiTheme="minorHAnsi" w:eastAsiaTheme="minorHAnsi" w:hAnsiTheme="minorHAnsi" w:cstheme="minorHAnsi"/>
          <w:bCs/>
          <w:caps/>
          <w:color w:val="E52236" w:themeColor="accent1"/>
          <w:spacing w:val="4"/>
          <w:sz w:val="21"/>
          <w:szCs w:val="21"/>
          <w:lang w:val="es-ES"/>
        </w:rPr>
      </w:pPr>
    </w:p>
    <w:p w14:paraId="704D82BA" w14:textId="5F1BEF1B" w:rsidR="00D737D0" w:rsidRPr="00A91912" w:rsidRDefault="000D57DA" w:rsidP="00FD5A45">
      <w:pPr>
        <w:pStyle w:val="AdressKopf"/>
        <w:jc w:val="both"/>
        <w:rPr>
          <w:rFonts w:cs="Arial"/>
          <w:color w:val="E52236" w:themeColor="accent1"/>
          <w:sz w:val="21"/>
          <w:szCs w:val="21"/>
          <w:lang w:val="es-ES"/>
        </w:rPr>
      </w:pPr>
      <w:r>
        <w:rPr>
          <w:rFonts w:cs="Arial"/>
          <w:color w:val="E52236" w:themeColor="accent1"/>
          <w:sz w:val="21"/>
          <w:szCs w:val="21"/>
          <w:lang w:val="es"/>
        </w:rPr>
        <w:t>En 2023 se celebra el 150.º aniversario de la Exposición Universal de Viena</w:t>
      </w:r>
      <w:r w:rsidR="005704E0">
        <w:rPr>
          <w:rFonts w:cs="Arial"/>
          <w:color w:val="E52236" w:themeColor="accent1"/>
          <w:sz w:val="21"/>
          <w:szCs w:val="21"/>
          <w:lang w:val="es"/>
        </w:rPr>
        <w:t>.</w:t>
      </w:r>
      <w:r>
        <w:rPr>
          <w:rFonts w:cs="Arial"/>
          <w:color w:val="E52236" w:themeColor="accent1"/>
          <w:sz w:val="21"/>
          <w:szCs w:val="21"/>
          <w:lang w:val="es"/>
        </w:rPr>
        <w:t xml:space="preserve"> Un aniversario marcado por un evento muy especial: alrededor de 1873 se produjo la reinvención de Viena. Ningún otro gran evento contribuyó tanto a transformar Viena en una urbe mundial como la Exposición Universal. Además, actualmente la ciudad da señales de encontrarse en un momento parecido. Desde principios de los 2000, Viena empezó a cambiar a una velocidad inaudita. Así, en 2023 la capital celebrará su pasado, su presente y su futuro en un contexto histórico marcado por las grandes visiones urbanas. Viena siempre tuvo el valor de avanzar hacia el futuro con creatividad.</w:t>
      </w:r>
    </w:p>
    <w:p w14:paraId="164D875C" w14:textId="77777777" w:rsidR="00FD5A45" w:rsidRPr="00A91912" w:rsidRDefault="00FD5A45" w:rsidP="00FD5A45">
      <w:pPr>
        <w:pStyle w:val="AdressKopf"/>
        <w:jc w:val="both"/>
        <w:rPr>
          <w:rFonts w:asciiTheme="minorHAnsi" w:eastAsiaTheme="minorHAnsi" w:hAnsiTheme="minorHAnsi" w:cstheme="minorHAnsi"/>
          <w:bCs/>
          <w:caps/>
          <w:color w:val="E52236" w:themeColor="accent1"/>
          <w:spacing w:val="4"/>
          <w:sz w:val="21"/>
          <w:szCs w:val="21"/>
          <w:lang w:val="es-ES"/>
        </w:rPr>
      </w:pPr>
    </w:p>
    <w:p w14:paraId="4CB3D701" w14:textId="0020BDFA" w:rsidR="00027575" w:rsidRPr="00A91912" w:rsidRDefault="00FD5A45" w:rsidP="004D7390">
      <w:pPr>
        <w:pStyle w:val="AdressKopf"/>
        <w:ind w:firstLine="708"/>
        <w:jc w:val="both"/>
        <w:rPr>
          <w:rStyle w:val="normaltextrun"/>
          <w:rFonts w:cs="Arial"/>
          <w:sz w:val="21"/>
          <w:szCs w:val="21"/>
          <w:lang w:val="es-ES"/>
        </w:rPr>
      </w:pPr>
      <w:r>
        <w:rPr>
          <w:rFonts w:cs="Arial"/>
          <w:sz w:val="21"/>
          <w:szCs w:val="21"/>
          <w:lang w:val="es"/>
        </w:rPr>
        <w:t xml:space="preserve">¿Por qué es tan importante el año 1873 para Viena, incluso en nuestros días? Aquella fue la época en la que Viena se convirtió en una capital mundial. Los días en que se construyeron los pilares sobre los que hoy se sostiene la alta calidad de vida que Viena ofrece. </w:t>
      </w:r>
      <w:r>
        <w:rPr>
          <w:rStyle w:val="normaltextrun"/>
          <w:rFonts w:cs="Arial"/>
          <w:sz w:val="21"/>
          <w:szCs w:val="21"/>
          <w:lang w:val="es"/>
        </w:rPr>
        <w:t xml:space="preserve">También fue cuando se construyó el acueducto </w:t>
      </w:r>
      <w:r>
        <w:rPr>
          <w:rStyle w:val="normaltextrun"/>
          <w:rFonts w:cs="Arial"/>
          <w:i/>
          <w:iCs/>
          <w:sz w:val="21"/>
          <w:szCs w:val="21"/>
          <w:lang w:val="es"/>
        </w:rPr>
        <w:t xml:space="preserve">I. Wiener </w:t>
      </w:r>
      <w:proofErr w:type="spellStart"/>
      <w:r>
        <w:rPr>
          <w:rStyle w:val="normaltextrun"/>
          <w:rFonts w:cs="Arial"/>
          <w:i/>
          <w:iCs/>
          <w:sz w:val="21"/>
          <w:szCs w:val="21"/>
          <w:lang w:val="es"/>
        </w:rPr>
        <w:t>Hochquellenleitung</w:t>
      </w:r>
      <w:proofErr w:type="spellEnd"/>
      <w:r>
        <w:rPr>
          <w:rStyle w:val="normaltextrun"/>
          <w:rFonts w:cs="Arial"/>
          <w:sz w:val="21"/>
          <w:szCs w:val="21"/>
          <w:lang w:val="es"/>
        </w:rPr>
        <w:t xml:space="preserve">. En un breve lapso de tiempo, las nuevas estaciones y vías de tren convirtieron a la ciudad en todo un eje de articulación centroeuropeo. La Exposición Universal también representó el nacimiento del turismo urbano moderno. Una serie de hoteles, como el legendario Hotel Imperial e instituciones como el Café </w:t>
      </w:r>
      <w:proofErr w:type="spellStart"/>
      <w:r>
        <w:rPr>
          <w:rStyle w:val="normaltextrun"/>
          <w:rFonts w:cs="Arial"/>
          <w:sz w:val="21"/>
          <w:szCs w:val="21"/>
          <w:lang w:val="es"/>
        </w:rPr>
        <w:t>Landtmann</w:t>
      </w:r>
      <w:proofErr w:type="spellEnd"/>
      <w:r>
        <w:rPr>
          <w:rStyle w:val="normaltextrun"/>
          <w:rFonts w:cs="Arial"/>
          <w:sz w:val="21"/>
          <w:szCs w:val="21"/>
          <w:lang w:val="es"/>
        </w:rPr>
        <w:t>, son fruto de esa era. Lo mismo se puede decir de muchos de los museos y colecciones que hoy han alcanzado fama mundial. Uno de ellos es el Museo de Artes Aplicadas, el MAK; pero también se esbozaron los primeros planos del Museo de Historia del Arte o KHM, que se presentaron en la Exposición Universal. La interrupción de la tala del Bosque de Viena supuso además la primera campaña medioambiental de la historia de Austria. Todo indicaba que algo grande se avecinaba.</w:t>
      </w:r>
    </w:p>
    <w:p w14:paraId="7FDD4C8C" w14:textId="67CEA1A0" w:rsidR="00C05311" w:rsidRPr="00A91912" w:rsidRDefault="00C05311" w:rsidP="00FD5A45">
      <w:pPr>
        <w:pStyle w:val="AdressKopf"/>
        <w:jc w:val="both"/>
        <w:rPr>
          <w:rStyle w:val="normaltextrun"/>
          <w:rFonts w:cs="Arial"/>
          <w:sz w:val="21"/>
          <w:szCs w:val="21"/>
          <w:lang w:val="es-ES"/>
        </w:rPr>
      </w:pPr>
    </w:p>
    <w:p w14:paraId="2F0B6012" w14:textId="3A277C36" w:rsidR="001A4A67" w:rsidRPr="00A91912" w:rsidRDefault="00596972" w:rsidP="00FD5A45">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Momentos urbanos estelares para Viena</w:t>
      </w:r>
    </w:p>
    <w:p w14:paraId="0F2B7201" w14:textId="3B07A32A" w:rsidR="00FD5A45" w:rsidRPr="00A91912" w:rsidRDefault="007B2F84" w:rsidP="004D7390">
      <w:pPr>
        <w:pStyle w:val="AdressKopf"/>
        <w:ind w:firstLine="708"/>
        <w:jc w:val="both"/>
        <w:rPr>
          <w:rFonts w:asciiTheme="minorHAnsi" w:eastAsiaTheme="minorHAnsi" w:hAnsiTheme="minorHAnsi" w:cstheme="minorHAnsi"/>
          <w:bCs/>
          <w:caps/>
          <w:color w:val="E52236" w:themeColor="accent1"/>
          <w:spacing w:val="4"/>
          <w:sz w:val="21"/>
          <w:szCs w:val="21"/>
          <w:lang w:val="es-ES"/>
        </w:rPr>
      </w:pPr>
      <w:r>
        <w:rPr>
          <w:rStyle w:val="normaltextrun"/>
          <w:rFonts w:cs="Arial"/>
          <w:sz w:val="21"/>
          <w:szCs w:val="21"/>
          <w:lang w:val="es"/>
        </w:rPr>
        <w:t xml:space="preserve">1873 fue año estelar para los intelectuales, para el espíritu y para la educación. Durante esta fase histórica, Viena ascendió a un nivel superior en el plano urbano y en el espiritual. La </w:t>
      </w:r>
      <w:proofErr w:type="spellStart"/>
      <w:r>
        <w:rPr>
          <w:rStyle w:val="normaltextrun"/>
          <w:rFonts w:cs="Arial"/>
          <w:sz w:val="21"/>
          <w:szCs w:val="21"/>
          <w:lang w:val="es"/>
        </w:rPr>
        <w:t>Ringstraße</w:t>
      </w:r>
      <w:proofErr w:type="spellEnd"/>
      <w:r>
        <w:rPr>
          <w:rStyle w:val="normaltextrun"/>
          <w:rFonts w:cs="Arial"/>
          <w:sz w:val="21"/>
          <w:szCs w:val="21"/>
          <w:lang w:val="es"/>
        </w:rPr>
        <w:t xml:space="preserve"> tomó forma. Se allanó el terreno para que Viena se convirtiera en una de las metrópolis más importantes de la época industrial. Por aquel entonces, Viena era la cuarta ciudad más grande del mundo. La Exposición Universal marcó el punto álgido de su desarrollo urbano. Algo de lo que la capital sigue beneficiándose hoy en día.</w:t>
      </w:r>
    </w:p>
    <w:p w14:paraId="43779088" w14:textId="7E887192" w:rsidR="00FD5A45" w:rsidRPr="00A91912" w:rsidRDefault="00FD5A45" w:rsidP="00FD5A45">
      <w:pPr>
        <w:pStyle w:val="AdressKopf"/>
        <w:jc w:val="both"/>
        <w:rPr>
          <w:rFonts w:asciiTheme="minorHAnsi" w:eastAsiaTheme="minorHAnsi" w:hAnsiTheme="minorHAnsi" w:cstheme="minorHAnsi"/>
          <w:bCs/>
          <w:caps/>
          <w:color w:val="E52236" w:themeColor="accent1"/>
          <w:spacing w:val="4"/>
          <w:sz w:val="21"/>
          <w:szCs w:val="21"/>
          <w:lang w:val="es-ES"/>
        </w:rPr>
      </w:pPr>
    </w:p>
    <w:p w14:paraId="71F50D25" w14:textId="7B5FF401" w:rsidR="00596972" w:rsidRPr="00A91912" w:rsidRDefault="00596972" w:rsidP="00FD5A45">
      <w:pPr>
        <w:pStyle w:val="AdressKopf"/>
        <w:jc w:val="both"/>
        <w:rPr>
          <w:rStyle w:val="normaltextrun"/>
          <w:rFonts w:cs="Arial"/>
          <w:b/>
          <w:bCs/>
          <w:sz w:val="21"/>
          <w:szCs w:val="21"/>
          <w:lang w:val="es-ES"/>
        </w:rPr>
      </w:pPr>
      <w:r>
        <w:rPr>
          <w:rStyle w:val="normaltextrun"/>
          <w:rFonts w:cs="Arial"/>
          <w:b/>
          <w:bCs/>
          <w:color w:val="E52236" w:themeColor="accent1"/>
          <w:sz w:val="21"/>
          <w:szCs w:val="21"/>
          <w:lang w:val="es"/>
        </w:rPr>
        <w:t>Viena florece como antaño</w:t>
      </w:r>
    </w:p>
    <w:p w14:paraId="68F463F2" w14:textId="15517B54" w:rsidR="00BE0CA4" w:rsidRPr="00A91912" w:rsidRDefault="00FD5A45" w:rsidP="004D7390">
      <w:pPr>
        <w:pStyle w:val="AdressKopf"/>
        <w:ind w:firstLine="708"/>
        <w:jc w:val="both"/>
        <w:rPr>
          <w:rStyle w:val="normaltextrun"/>
          <w:rFonts w:cs="Arial"/>
          <w:sz w:val="21"/>
          <w:szCs w:val="21"/>
          <w:lang w:val="es-ES"/>
        </w:rPr>
      </w:pPr>
      <w:r>
        <w:rPr>
          <w:rStyle w:val="normaltextrun"/>
          <w:rFonts w:cs="Arial"/>
          <w:sz w:val="21"/>
          <w:szCs w:val="21"/>
          <w:lang w:val="es"/>
        </w:rPr>
        <w:t xml:space="preserve">Exactamente 150 años después, Viena se encuentra en un contexto similar. La ciudad florece desde los 2000 y evoluciona a un ritmo parecido al que avanzó durante la Exposición Universal. La hotelería vienesa está en auge. Todas las estaciones de tren relevantes se renovaron alrededor del año 2010. Hoy, Viena es la principal encrucijada de trenes nocturnos del continente, incorporando así una forma de viajar respetuosa con el medioambiente. La red de metro de Viena no se queda atrás y también crece sin cesar. En la Viena del tercer milenio se piensa con el futuro en mente: el distrito </w:t>
      </w:r>
      <w:proofErr w:type="spellStart"/>
      <w:r>
        <w:rPr>
          <w:rStyle w:val="normaltextrun"/>
          <w:rFonts w:cs="Arial"/>
          <w:sz w:val="21"/>
          <w:szCs w:val="21"/>
          <w:lang w:val="es"/>
        </w:rPr>
        <w:t>Seestadt</w:t>
      </w:r>
      <w:proofErr w:type="spellEnd"/>
      <w:r>
        <w:rPr>
          <w:rStyle w:val="normaltextrun"/>
          <w:rFonts w:cs="Arial"/>
          <w:sz w:val="21"/>
          <w:szCs w:val="21"/>
          <w:lang w:val="es"/>
        </w:rPr>
        <w:t xml:space="preserve"> </w:t>
      </w:r>
      <w:proofErr w:type="spellStart"/>
      <w:r>
        <w:rPr>
          <w:rStyle w:val="normaltextrun"/>
          <w:rFonts w:cs="Arial"/>
          <w:sz w:val="21"/>
          <w:szCs w:val="21"/>
          <w:lang w:val="es"/>
        </w:rPr>
        <w:t>Aspern</w:t>
      </w:r>
      <w:proofErr w:type="spellEnd"/>
      <w:r>
        <w:rPr>
          <w:rStyle w:val="normaltextrun"/>
          <w:rFonts w:cs="Arial"/>
          <w:sz w:val="21"/>
          <w:szCs w:val="21"/>
          <w:lang w:val="es"/>
        </w:rPr>
        <w:t xml:space="preserve"> de Viena es una de las mayores zonas de desarrollo urbano de Europa. Viena es pionera en la </w:t>
      </w:r>
      <w:r>
        <w:rPr>
          <w:rStyle w:val="normaltextrun"/>
          <w:rFonts w:cs="Arial"/>
          <w:sz w:val="21"/>
          <w:szCs w:val="21"/>
          <w:lang w:val="es"/>
        </w:rPr>
        <w:lastRenderedPageBreak/>
        <w:t>celebración de congresos y reuniones de todo tipo, especialmente en el campo de la medicina. Por no mencionar sus centros educativos y su universidad. La ciudad también destaca en el sector de las ciencias biológicas. Viena brilla de forma particular en su papel de capital del arte, la cultura, la música y la celebración de eventos. En 2023 queda claro que Viena avanza a pasos agigantados y sigue despertando entusiasmo en visitantes de todo el mundo. Los últimos cambios que han tenido lugar son enormemente importantes para su futuro. Lo que hoy pasa en Viena, seguirá teniendo relevancia dentro de 150 años. En 2023, todo esto se celebrará a lo grande. Sobran los motivos para visitar Viena y dejarse contagiar por el espíritu de la Viena de la Exposición Universal de 1873 y por la de hoy.</w:t>
      </w:r>
    </w:p>
    <w:p w14:paraId="210F754F" w14:textId="77777777" w:rsidR="00027575" w:rsidRPr="00A91912" w:rsidRDefault="00027575" w:rsidP="00FD5A45">
      <w:pPr>
        <w:pStyle w:val="AdressKopf"/>
        <w:jc w:val="both"/>
        <w:rPr>
          <w:rStyle w:val="normaltextrun"/>
          <w:rFonts w:cs="Arial"/>
          <w:sz w:val="21"/>
          <w:szCs w:val="21"/>
          <w:lang w:val="es-ES"/>
        </w:rPr>
      </w:pPr>
    </w:p>
    <w:p w14:paraId="22FF014A" w14:textId="4FF47411" w:rsidR="00596972" w:rsidRPr="00A91912" w:rsidRDefault="00596972" w:rsidP="001B197A">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Toda Viena en el contexto de la Exposición Universal</w:t>
      </w:r>
    </w:p>
    <w:p w14:paraId="2EEA29C5" w14:textId="5B8546EE" w:rsidR="001B197A" w:rsidRPr="00A91912" w:rsidRDefault="001B197A" w:rsidP="004D7390">
      <w:pPr>
        <w:pStyle w:val="AdressKopf"/>
        <w:ind w:firstLine="708"/>
        <w:jc w:val="both"/>
        <w:rPr>
          <w:rStyle w:val="normaltextrun"/>
          <w:rFonts w:cs="Arial"/>
          <w:sz w:val="21"/>
          <w:szCs w:val="21"/>
          <w:lang w:val="es-ES"/>
        </w:rPr>
      </w:pPr>
      <w:r>
        <w:rPr>
          <w:rStyle w:val="normaltextrun"/>
          <w:rFonts w:cs="Arial"/>
          <w:sz w:val="21"/>
          <w:szCs w:val="21"/>
          <w:lang w:val="es"/>
        </w:rPr>
        <w:t xml:space="preserve">Uno de los momentos más sobresalientes de 2023 llegará con la primavera: con </w:t>
      </w:r>
      <w:r>
        <w:rPr>
          <w:rStyle w:val="normaltextrun"/>
          <w:rFonts w:cs="Arial"/>
          <w:i/>
          <w:iCs/>
          <w:sz w:val="21"/>
          <w:szCs w:val="21"/>
          <w:lang w:val="es"/>
        </w:rPr>
        <w:t>Panorama Vienna</w:t>
      </w:r>
      <w:r>
        <w:rPr>
          <w:rStyle w:val="normaltextrun"/>
          <w:rFonts w:cs="Arial"/>
          <w:sz w:val="21"/>
          <w:szCs w:val="21"/>
          <w:lang w:val="es"/>
        </w:rPr>
        <w:t xml:space="preserve"> se inaugura un centro de exposiciones nuevo y especial que evoca la legendaria construcción Rotunde. La Rotunde fue el símbolo arquitectónico de la Exposición Universal, y también fue la mayor cúpula del mundo hasta su destrucción por un incendio en 1937. El edificio de la exposición </w:t>
      </w:r>
      <w:r>
        <w:rPr>
          <w:rStyle w:val="normaltextrun"/>
          <w:rFonts w:cs="Arial"/>
          <w:i/>
          <w:iCs/>
          <w:sz w:val="21"/>
          <w:szCs w:val="21"/>
          <w:lang w:val="es"/>
        </w:rPr>
        <w:t>Panorama Vienna</w:t>
      </w:r>
      <w:r>
        <w:rPr>
          <w:rStyle w:val="normaltextrun"/>
          <w:rFonts w:cs="Arial"/>
          <w:sz w:val="21"/>
          <w:szCs w:val="21"/>
          <w:lang w:val="es"/>
        </w:rPr>
        <w:t xml:space="preserve"> tendrá 34 metros de alto, y en su interior se expondrán arte e imágenes que, por su tamaño y dimensiones, solo pueden apreciarse en formato panorámico.</w:t>
      </w:r>
    </w:p>
    <w:p w14:paraId="6239DAB1" w14:textId="62AD7839" w:rsidR="00BE0CA4" w:rsidRPr="00A91912" w:rsidRDefault="008C32FF" w:rsidP="004D7390">
      <w:pPr>
        <w:pStyle w:val="AdressKopf"/>
        <w:ind w:firstLine="708"/>
        <w:jc w:val="both"/>
        <w:rPr>
          <w:rStyle w:val="normaltextrun"/>
          <w:rFonts w:cs="Arial"/>
          <w:sz w:val="21"/>
          <w:szCs w:val="21"/>
          <w:lang w:val="es-ES"/>
        </w:rPr>
      </w:pPr>
      <w:r w:rsidRPr="008C32FF">
        <w:rPr>
          <w:rStyle w:val="normaltextrun"/>
          <w:rFonts w:cs="Arial"/>
          <w:sz w:val="21"/>
          <w:szCs w:val="21"/>
          <w:lang w:val="es"/>
        </w:rPr>
        <w:t xml:space="preserve">El Museo de la Técnica de Viena – TMW prepara la exposición especial </w:t>
      </w:r>
      <w:proofErr w:type="spellStart"/>
      <w:r w:rsidRPr="008C32FF">
        <w:rPr>
          <w:rStyle w:val="normaltextrun"/>
          <w:rFonts w:cs="Arial"/>
          <w:i/>
          <w:iCs/>
          <w:sz w:val="21"/>
          <w:szCs w:val="21"/>
          <w:lang w:val="es"/>
        </w:rPr>
        <w:t>Women</w:t>
      </w:r>
      <w:proofErr w:type="spellEnd"/>
      <w:r w:rsidRPr="008C32FF">
        <w:rPr>
          <w:rStyle w:val="normaltextrun"/>
          <w:rFonts w:cs="Arial"/>
          <w:i/>
          <w:iCs/>
          <w:sz w:val="21"/>
          <w:szCs w:val="21"/>
          <w:lang w:val="es"/>
        </w:rPr>
        <w:t xml:space="preserve"> at </w:t>
      </w:r>
      <w:proofErr w:type="spellStart"/>
      <w:r w:rsidRPr="008C32FF">
        <w:rPr>
          <w:rStyle w:val="normaltextrun"/>
          <w:rFonts w:cs="Arial"/>
          <w:i/>
          <w:iCs/>
          <w:sz w:val="21"/>
          <w:szCs w:val="21"/>
          <w:lang w:val="es"/>
        </w:rPr>
        <w:t>Work</w:t>
      </w:r>
      <w:proofErr w:type="spellEnd"/>
      <w:r w:rsidRPr="008C32FF">
        <w:rPr>
          <w:rStyle w:val="normaltextrun"/>
          <w:rFonts w:cs="Arial"/>
          <w:i/>
          <w:iCs/>
          <w:sz w:val="21"/>
          <w:szCs w:val="21"/>
          <w:lang w:val="es"/>
        </w:rPr>
        <w:t>.</w:t>
      </w:r>
      <w:r w:rsidRPr="008C32FF">
        <w:rPr>
          <w:rStyle w:val="normaltextrun"/>
          <w:rFonts w:cs="Arial"/>
          <w:sz w:val="21"/>
          <w:szCs w:val="21"/>
          <w:lang w:val="es"/>
        </w:rPr>
        <w:t xml:space="preserve"> </w:t>
      </w:r>
      <w:r w:rsidRPr="008C32FF">
        <w:rPr>
          <w:rStyle w:val="normaltextrun"/>
          <w:rFonts w:cs="Arial"/>
          <w:i/>
          <w:iCs/>
          <w:sz w:val="21"/>
          <w:szCs w:val="21"/>
          <w:lang w:val="es"/>
        </w:rPr>
        <w:t>150 del pabellón de mujeres de la Exposición Universal de Viena</w:t>
      </w:r>
      <w:r w:rsidRPr="008C32FF">
        <w:rPr>
          <w:rStyle w:val="normaltextrun"/>
          <w:rFonts w:cs="Arial"/>
          <w:sz w:val="21"/>
          <w:szCs w:val="21"/>
          <w:lang w:val="es"/>
        </w:rPr>
        <w:t xml:space="preserve"> (del 2 de mayo hasta finales de junio de 2023).</w:t>
      </w:r>
      <w:r w:rsidR="001B197A">
        <w:rPr>
          <w:rStyle w:val="normaltextrun"/>
          <w:rFonts w:cs="Arial"/>
          <w:sz w:val="21"/>
          <w:szCs w:val="21"/>
          <w:lang w:val="es"/>
        </w:rPr>
        <w:t xml:space="preserve"> En el </w:t>
      </w:r>
      <w:proofErr w:type="spellStart"/>
      <w:r w:rsidR="001B197A">
        <w:rPr>
          <w:rStyle w:val="normaltextrun"/>
          <w:rFonts w:cs="Arial"/>
          <w:sz w:val="21"/>
          <w:szCs w:val="21"/>
          <w:lang w:val="es"/>
        </w:rPr>
        <w:t>Weltmuseum</w:t>
      </w:r>
      <w:proofErr w:type="spellEnd"/>
      <w:r w:rsidR="001B197A">
        <w:rPr>
          <w:rStyle w:val="normaltextrun"/>
          <w:rFonts w:cs="Arial"/>
          <w:sz w:val="21"/>
          <w:szCs w:val="21"/>
          <w:lang w:val="es"/>
        </w:rPr>
        <w:t xml:space="preserve"> Wien, en el que hay una sala permanente dedicada a la Exposición Universal de 1873, también habrá un programa específico sobre la misma. El Museo de Artes Aplicadas de Viena, el MAK, tiene previstas dos exposiciones para conmemorar el 150.º aniversario del histórico evento: una versará sobre estudios orientales que llevaron a la idea de la Exposición Universal de Viena. En la otra, con una exposición propia sobre J. &amp; J. </w:t>
      </w:r>
      <w:proofErr w:type="spellStart"/>
      <w:r w:rsidR="001B197A">
        <w:rPr>
          <w:rStyle w:val="normaltextrun"/>
          <w:rFonts w:cs="Arial"/>
          <w:sz w:val="21"/>
          <w:szCs w:val="21"/>
          <w:lang w:val="es"/>
        </w:rPr>
        <w:t>Lobmeyr</w:t>
      </w:r>
      <w:proofErr w:type="spellEnd"/>
      <w:r w:rsidR="001B197A">
        <w:rPr>
          <w:rStyle w:val="normaltextrun"/>
          <w:rFonts w:cs="Arial"/>
          <w:sz w:val="21"/>
          <w:szCs w:val="21"/>
          <w:lang w:val="es"/>
        </w:rPr>
        <w:t xml:space="preserve">, el MAK rinde homenaje a una de las empresas vienesas de más tradición. El reputado fabricante de cristal participó en la exposición de 1873. En 2023, </w:t>
      </w:r>
      <w:proofErr w:type="spellStart"/>
      <w:r w:rsidR="001B197A">
        <w:rPr>
          <w:rStyle w:val="normaltextrun"/>
          <w:rFonts w:cs="Arial"/>
          <w:sz w:val="21"/>
          <w:szCs w:val="21"/>
          <w:lang w:val="es"/>
        </w:rPr>
        <w:t>Lobmeyr</w:t>
      </w:r>
      <w:proofErr w:type="spellEnd"/>
      <w:r w:rsidR="001B197A">
        <w:rPr>
          <w:rStyle w:val="normaltextrun"/>
          <w:rFonts w:cs="Arial"/>
          <w:sz w:val="21"/>
          <w:szCs w:val="21"/>
          <w:lang w:val="es"/>
        </w:rPr>
        <w:t xml:space="preserve"> celebra el 200.º aniversario de su empresa. En general, 2023 es un año especial para la artesanía y el diseño vieneses.</w:t>
      </w:r>
    </w:p>
    <w:p w14:paraId="75C13DCE" w14:textId="4B8F29B8" w:rsidR="00020AB1" w:rsidRPr="00A91912" w:rsidRDefault="00020AB1" w:rsidP="00FD5A45">
      <w:pPr>
        <w:pStyle w:val="AdressKopf"/>
        <w:jc w:val="both"/>
        <w:rPr>
          <w:rStyle w:val="normaltextrun"/>
          <w:rFonts w:cs="Arial"/>
          <w:sz w:val="21"/>
          <w:szCs w:val="21"/>
          <w:lang w:val="es-ES"/>
        </w:rPr>
      </w:pPr>
    </w:p>
    <w:p w14:paraId="382DDD30" w14:textId="074097BC" w:rsidR="00596972" w:rsidRPr="00A91912" w:rsidRDefault="00596972" w:rsidP="00C05311">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Artesanía y diseño de altura</w:t>
      </w:r>
    </w:p>
    <w:p w14:paraId="101F011E" w14:textId="3C41823B" w:rsidR="001B197A" w:rsidRPr="00A91912" w:rsidRDefault="00C05311" w:rsidP="004D7390">
      <w:pPr>
        <w:pStyle w:val="AdressKopf"/>
        <w:ind w:firstLine="708"/>
        <w:jc w:val="both"/>
        <w:rPr>
          <w:rStyle w:val="normaltextrun"/>
          <w:rFonts w:cs="Arial"/>
          <w:sz w:val="21"/>
          <w:szCs w:val="21"/>
          <w:lang w:val="es-ES"/>
        </w:rPr>
      </w:pPr>
      <w:r>
        <w:rPr>
          <w:rStyle w:val="normaltextrun"/>
          <w:rFonts w:cs="Arial"/>
          <w:sz w:val="21"/>
          <w:szCs w:val="21"/>
          <w:lang w:val="es"/>
        </w:rPr>
        <w:t xml:space="preserve">Los joyeros de A. E. </w:t>
      </w:r>
      <w:proofErr w:type="spellStart"/>
      <w:r>
        <w:rPr>
          <w:rStyle w:val="normaltextrun"/>
          <w:rFonts w:cs="Arial"/>
          <w:sz w:val="21"/>
          <w:szCs w:val="21"/>
          <w:lang w:val="es"/>
        </w:rPr>
        <w:t>Köchert</w:t>
      </w:r>
      <w:proofErr w:type="spellEnd"/>
      <w:r>
        <w:rPr>
          <w:rStyle w:val="normaltextrun"/>
          <w:rFonts w:cs="Arial"/>
          <w:sz w:val="21"/>
          <w:szCs w:val="21"/>
          <w:lang w:val="es"/>
        </w:rPr>
        <w:t xml:space="preserve"> también estuvieron en la Exposición Universal de 1873. La producción de las joyas de alta calidad que la emperatriz Sisi gustaba de llevar en el cabello contribuyeron de forma especial a su fama internacional. A. E. </w:t>
      </w:r>
      <w:proofErr w:type="spellStart"/>
      <w:r>
        <w:rPr>
          <w:rStyle w:val="normaltextrun"/>
          <w:rFonts w:cs="Arial"/>
          <w:sz w:val="21"/>
          <w:szCs w:val="21"/>
          <w:lang w:val="es"/>
        </w:rPr>
        <w:t>Köchert</w:t>
      </w:r>
      <w:proofErr w:type="spellEnd"/>
      <w:r>
        <w:rPr>
          <w:rStyle w:val="normaltextrun"/>
          <w:rFonts w:cs="Arial"/>
          <w:sz w:val="21"/>
          <w:szCs w:val="21"/>
          <w:lang w:val="es"/>
        </w:rPr>
        <w:t xml:space="preserve"> ofrece sus creaciones de alta calidad en el histórico establecimiento de </w:t>
      </w:r>
      <w:proofErr w:type="spellStart"/>
      <w:r>
        <w:rPr>
          <w:rStyle w:val="normaltextrun"/>
          <w:rFonts w:cs="Arial"/>
          <w:sz w:val="21"/>
          <w:szCs w:val="21"/>
          <w:lang w:val="es"/>
        </w:rPr>
        <w:t>Neuer</w:t>
      </w:r>
      <w:proofErr w:type="spellEnd"/>
      <w:r>
        <w:rPr>
          <w:rStyle w:val="normaltextrun"/>
          <w:rFonts w:cs="Arial"/>
          <w:sz w:val="21"/>
          <w:szCs w:val="21"/>
          <w:lang w:val="es"/>
        </w:rPr>
        <w:t xml:space="preserve"> </w:t>
      </w:r>
      <w:proofErr w:type="spellStart"/>
      <w:r>
        <w:rPr>
          <w:rStyle w:val="normaltextrun"/>
          <w:rFonts w:cs="Arial"/>
          <w:sz w:val="21"/>
          <w:szCs w:val="21"/>
          <w:lang w:val="es"/>
        </w:rPr>
        <w:t>Markt</w:t>
      </w:r>
      <w:proofErr w:type="spellEnd"/>
      <w:r>
        <w:rPr>
          <w:rStyle w:val="normaltextrun"/>
          <w:rFonts w:cs="Arial"/>
          <w:sz w:val="21"/>
          <w:szCs w:val="21"/>
          <w:lang w:val="es"/>
        </w:rPr>
        <w:t xml:space="preserve"> en que la empresa, fundada en 1814, se instaló con motivo de la Exposición Universal de 1873. El renombrado fabricante de zapatos a medida Scheer también participó en la exposición, y su empresa sigue prosperando. Una historia parecida a la de los fabricantes de pianos </w:t>
      </w:r>
      <w:proofErr w:type="spellStart"/>
      <w:r>
        <w:rPr>
          <w:rStyle w:val="normaltextrun"/>
          <w:rFonts w:cs="Arial"/>
          <w:sz w:val="21"/>
          <w:szCs w:val="21"/>
          <w:lang w:val="es"/>
        </w:rPr>
        <w:t>Bösendorfer</w:t>
      </w:r>
      <w:proofErr w:type="spellEnd"/>
      <w:r>
        <w:rPr>
          <w:rStyle w:val="normaltextrun"/>
          <w:rFonts w:cs="Arial"/>
          <w:sz w:val="21"/>
          <w:szCs w:val="21"/>
          <w:lang w:val="es"/>
        </w:rPr>
        <w:t xml:space="preserve">, el fabricante de relojes de lujo Carl </w:t>
      </w:r>
      <w:proofErr w:type="spellStart"/>
      <w:r>
        <w:rPr>
          <w:rStyle w:val="normaltextrun"/>
          <w:rFonts w:cs="Arial"/>
          <w:sz w:val="21"/>
          <w:szCs w:val="21"/>
          <w:lang w:val="es"/>
        </w:rPr>
        <w:t>Suchy</w:t>
      </w:r>
      <w:proofErr w:type="spellEnd"/>
      <w:r>
        <w:rPr>
          <w:rStyle w:val="normaltextrun"/>
          <w:rFonts w:cs="Arial"/>
          <w:sz w:val="21"/>
          <w:szCs w:val="21"/>
          <w:lang w:val="es"/>
        </w:rPr>
        <w:t xml:space="preserve"> y la orfebrería de plata </w:t>
      </w:r>
      <w:proofErr w:type="spellStart"/>
      <w:r>
        <w:rPr>
          <w:rStyle w:val="normaltextrun"/>
          <w:rFonts w:cs="Arial"/>
          <w:sz w:val="21"/>
          <w:szCs w:val="21"/>
          <w:lang w:val="es"/>
        </w:rPr>
        <w:t>Jarosinski</w:t>
      </w:r>
      <w:proofErr w:type="spellEnd"/>
      <w:r>
        <w:rPr>
          <w:rStyle w:val="normaltextrun"/>
          <w:rFonts w:cs="Arial"/>
          <w:sz w:val="21"/>
          <w:szCs w:val="21"/>
          <w:lang w:val="es"/>
        </w:rPr>
        <w:t xml:space="preserve"> &amp; </w:t>
      </w:r>
      <w:proofErr w:type="spellStart"/>
      <w:r>
        <w:rPr>
          <w:rStyle w:val="normaltextrun"/>
          <w:rFonts w:cs="Arial"/>
          <w:sz w:val="21"/>
          <w:szCs w:val="21"/>
          <w:lang w:val="es"/>
        </w:rPr>
        <w:t>Vaugoin</w:t>
      </w:r>
      <w:proofErr w:type="spellEnd"/>
      <w:r>
        <w:rPr>
          <w:rStyle w:val="normaltextrun"/>
          <w:rFonts w:cs="Arial"/>
          <w:sz w:val="21"/>
          <w:szCs w:val="21"/>
          <w:lang w:val="es"/>
        </w:rPr>
        <w:t>. La artesanía artística y el diseño son solo algunos de los muchos ámbitos en los que la Exposición Universal dejó huellas visibles hasta hoy.</w:t>
      </w:r>
    </w:p>
    <w:p w14:paraId="628AACCC" w14:textId="5F4C2BD6" w:rsidR="00C05311" w:rsidRPr="00A91912" w:rsidRDefault="00C05311" w:rsidP="00FD5A45">
      <w:pPr>
        <w:pStyle w:val="AdressKopf"/>
        <w:jc w:val="both"/>
        <w:rPr>
          <w:rStyle w:val="normaltextrun"/>
          <w:rFonts w:cs="Arial"/>
          <w:sz w:val="21"/>
          <w:szCs w:val="21"/>
          <w:lang w:val="es-ES"/>
        </w:rPr>
      </w:pPr>
    </w:p>
    <w:p w14:paraId="17516CF2" w14:textId="59C6326E" w:rsidR="00596972" w:rsidRPr="00A91912" w:rsidRDefault="00596972" w:rsidP="00413467">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El apogeo de la hotelería y la música</w:t>
      </w:r>
    </w:p>
    <w:p w14:paraId="083AAD20" w14:textId="2B624D7A" w:rsidR="00413467" w:rsidRPr="00A91912" w:rsidRDefault="001B197A" w:rsidP="004D7390">
      <w:pPr>
        <w:pStyle w:val="AdressKopf"/>
        <w:ind w:firstLine="708"/>
        <w:jc w:val="both"/>
        <w:rPr>
          <w:rStyle w:val="normaltextrun"/>
          <w:rFonts w:cs="Arial"/>
          <w:sz w:val="21"/>
          <w:szCs w:val="21"/>
          <w:lang w:val="es-ES"/>
        </w:rPr>
      </w:pPr>
      <w:r>
        <w:rPr>
          <w:rStyle w:val="normaltextrun"/>
          <w:rFonts w:cs="Arial"/>
          <w:sz w:val="21"/>
          <w:szCs w:val="21"/>
          <w:lang w:val="es"/>
        </w:rPr>
        <w:t xml:space="preserve">La Exposición de 1873 llevó a la hotelería vienesa a un auge sin precedentes. El legendario Hotel Imperial abrió sus puertas en 1873. Igual que el palacio Hansen </w:t>
      </w:r>
      <w:proofErr w:type="spellStart"/>
      <w:r>
        <w:rPr>
          <w:rStyle w:val="normaltextrun"/>
          <w:rFonts w:cs="Arial"/>
          <w:sz w:val="21"/>
          <w:szCs w:val="21"/>
          <w:lang w:val="es"/>
        </w:rPr>
        <w:t>Kempinski</w:t>
      </w:r>
      <w:proofErr w:type="spellEnd"/>
      <w:r>
        <w:rPr>
          <w:rStyle w:val="normaltextrun"/>
          <w:rFonts w:cs="Arial"/>
          <w:sz w:val="21"/>
          <w:szCs w:val="21"/>
          <w:lang w:val="es"/>
        </w:rPr>
        <w:t xml:space="preserve"> de </w:t>
      </w:r>
      <w:proofErr w:type="spellStart"/>
      <w:r>
        <w:rPr>
          <w:rStyle w:val="normaltextrun"/>
          <w:rFonts w:cs="Arial"/>
          <w:sz w:val="21"/>
          <w:szCs w:val="21"/>
          <w:lang w:val="es"/>
        </w:rPr>
        <w:t>Schottenring</w:t>
      </w:r>
      <w:proofErr w:type="spellEnd"/>
      <w:r>
        <w:rPr>
          <w:rStyle w:val="normaltextrun"/>
          <w:rFonts w:cs="Arial"/>
          <w:sz w:val="21"/>
          <w:szCs w:val="21"/>
          <w:lang w:val="es"/>
        </w:rPr>
        <w:t xml:space="preserve">, que desde hace una década vuelve a ser un hotel. 1873 se puede considerar como el nacimiento del turismo urbano de cuño moderno. Viena también celebra 2023 con una mirada entre los bastidores de estos edificios especiales. Como señala el lema de este año, </w:t>
      </w:r>
      <w:r>
        <w:rPr>
          <w:rStyle w:val="normaltextrun"/>
          <w:rFonts w:cs="Arial"/>
          <w:i/>
          <w:iCs/>
          <w:sz w:val="21"/>
          <w:szCs w:val="21"/>
          <w:lang w:val="es"/>
        </w:rPr>
        <w:t>Visión y Auge</w:t>
      </w:r>
      <w:r>
        <w:rPr>
          <w:rStyle w:val="normaltextrun"/>
          <w:rFonts w:cs="Arial"/>
          <w:sz w:val="21"/>
          <w:szCs w:val="21"/>
          <w:lang w:val="es"/>
        </w:rPr>
        <w:t xml:space="preserve">, en 2023 también se presta atención al auge actual de la hotelería vienesa. Los nuevos proyectos hoteleros demuestran cómo será el futuro del sector. ¿Y qué sería de Viena sin la música? </w:t>
      </w:r>
      <w:r w:rsidR="00154679" w:rsidRPr="005D00CE">
        <w:rPr>
          <w:rStyle w:val="normaltextrun"/>
          <w:rFonts w:cs="Arial"/>
          <w:sz w:val="21"/>
          <w:szCs w:val="21"/>
          <w:lang w:val="es"/>
        </w:rPr>
        <w:t>Representada por Eduard Strauss, la dinastía Strauss tuvo un papel musical importante en la Exposición Universal de Viena</w:t>
      </w:r>
      <w:r w:rsidR="00154679">
        <w:rPr>
          <w:rStyle w:val="normaltextrun"/>
          <w:rFonts w:cs="Arial"/>
          <w:sz w:val="21"/>
          <w:szCs w:val="21"/>
          <w:lang w:val="es"/>
        </w:rPr>
        <w:t xml:space="preserve"> </w:t>
      </w:r>
      <w:r>
        <w:rPr>
          <w:rStyle w:val="normaltextrun"/>
          <w:rFonts w:cs="Arial"/>
          <w:sz w:val="21"/>
          <w:szCs w:val="21"/>
          <w:lang w:val="es"/>
        </w:rPr>
        <w:t xml:space="preserve">y pudo oírse en algunos de sus locales, como el Casino </w:t>
      </w:r>
      <w:proofErr w:type="spellStart"/>
      <w:r>
        <w:rPr>
          <w:rStyle w:val="normaltextrun"/>
          <w:rFonts w:cs="Arial"/>
          <w:sz w:val="21"/>
          <w:szCs w:val="21"/>
          <w:lang w:val="es"/>
        </w:rPr>
        <w:t>Zögernitz</w:t>
      </w:r>
      <w:proofErr w:type="spellEnd"/>
      <w:r>
        <w:rPr>
          <w:rStyle w:val="normaltextrun"/>
          <w:rFonts w:cs="Arial"/>
          <w:sz w:val="21"/>
          <w:szCs w:val="21"/>
          <w:lang w:val="es"/>
        </w:rPr>
        <w:t xml:space="preserve">. </w:t>
      </w:r>
      <w:r w:rsidR="00154679" w:rsidRPr="005D00CE">
        <w:rPr>
          <w:rStyle w:val="normaltextrun"/>
          <w:rFonts w:cs="Arial"/>
          <w:sz w:val="21"/>
          <w:szCs w:val="21"/>
          <w:lang w:val="es"/>
        </w:rPr>
        <w:t xml:space="preserve">Johann Strauss también compuso piezas para la ocasión, como </w:t>
      </w:r>
      <w:r w:rsidR="00154679" w:rsidRPr="00AB30E0">
        <w:rPr>
          <w:rStyle w:val="normaltextrun"/>
          <w:rFonts w:cs="Arial"/>
          <w:i/>
          <w:iCs/>
          <w:sz w:val="21"/>
          <w:szCs w:val="21"/>
          <w:lang w:val="es"/>
        </w:rPr>
        <w:t>Cuadrilla Rotonda</w:t>
      </w:r>
      <w:r w:rsidR="00154679" w:rsidRPr="005D00CE">
        <w:rPr>
          <w:rStyle w:val="normaltextrun"/>
          <w:rFonts w:cs="Arial"/>
          <w:sz w:val="21"/>
          <w:szCs w:val="21"/>
          <w:lang w:val="es"/>
        </w:rPr>
        <w:t>.</w:t>
      </w:r>
      <w:r>
        <w:rPr>
          <w:rStyle w:val="normaltextrun"/>
          <w:rFonts w:cs="Arial"/>
          <w:sz w:val="21"/>
          <w:szCs w:val="21"/>
          <w:lang w:val="es"/>
        </w:rPr>
        <w:t xml:space="preserve"> Con </w:t>
      </w:r>
      <w:r>
        <w:rPr>
          <w:rStyle w:val="normaltextrun"/>
          <w:rFonts w:cs="Arial"/>
          <w:i/>
          <w:iCs/>
          <w:sz w:val="21"/>
          <w:szCs w:val="21"/>
          <w:lang w:val="es"/>
        </w:rPr>
        <w:t xml:space="preserve">House </w:t>
      </w:r>
      <w:proofErr w:type="spellStart"/>
      <w:r>
        <w:rPr>
          <w:rStyle w:val="normaltextrun"/>
          <w:rFonts w:cs="Arial"/>
          <w:i/>
          <w:iCs/>
          <w:sz w:val="21"/>
          <w:szCs w:val="21"/>
          <w:lang w:val="es"/>
        </w:rPr>
        <w:t>of</w:t>
      </w:r>
      <w:proofErr w:type="spellEnd"/>
      <w:r>
        <w:rPr>
          <w:rStyle w:val="normaltextrun"/>
          <w:rFonts w:cs="Arial"/>
          <w:i/>
          <w:iCs/>
          <w:sz w:val="21"/>
          <w:szCs w:val="21"/>
          <w:lang w:val="es"/>
        </w:rPr>
        <w:t xml:space="preserve"> Strauss</w:t>
      </w:r>
      <w:r>
        <w:rPr>
          <w:rStyle w:val="normaltextrun"/>
          <w:rFonts w:cs="Arial"/>
          <w:sz w:val="21"/>
          <w:szCs w:val="21"/>
          <w:lang w:val="es"/>
        </w:rPr>
        <w:t xml:space="preserve"> en el histórico Casino </w:t>
      </w:r>
      <w:proofErr w:type="spellStart"/>
      <w:r>
        <w:rPr>
          <w:rStyle w:val="normaltextrun"/>
          <w:rFonts w:cs="Arial"/>
          <w:sz w:val="21"/>
          <w:szCs w:val="21"/>
          <w:lang w:val="es"/>
        </w:rPr>
        <w:t>Zögernitz</w:t>
      </w:r>
      <w:proofErr w:type="spellEnd"/>
      <w:r>
        <w:rPr>
          <w:rStyle w:val="normaltextrun"/>
          <w:rFonts w:cs="Arial"/>
          <w:sz w:val="21"/>
          <w:szCs w:val="21"/>
          <w:lang w:val="es"/>
        </w:rPr>
        <w:t xml:space="preserve">, en 2023 abrirá sus puertas un nuevo </w:t>
      </w:r>
      <w:r>
        <w:rPr>
          <w:rStyle w:val="normaltextrun"/>
          <w:rFonts w:cs="Arial"/>
          <w:sz w:val="21"/>
          <w:szCs w:val="21"/>
          <w:lang w:val="es"/>
        </w:rPr>
        <w:lastRenderedPageBreak/>
        <w:t xml:space="preserve">local vienés dedicado a la música. Este contará con un museo dedicado a la dinastía Strauss, conciertos, eventos y una </w:t>
      </w:r>
      <w:proofErr w:type="spellStart"/>
      <w:r>
        <w:rPr>
          <w:rStyle w:val="normaltextrun"/>
          <w:rFonts w:cs="Arial"/>
          <w:i/>
          <w:iCs/>
          <w:sz w:val="21"/>
          <w:szCs w:val="21"/>
          <w:lang w:val="es"/>
        </w:rPr>
        <w:t>brasserie</w:t>
      </w:r>
      <w:proofErr w:type="spellEnd"/>
      <w:r>
        <w:rPr>
          <w:rStyle w:val="normaltextrun"/>
          <w:rFonts w:cs="Arial"/>
          <w:sz w:val="21"/>
          <w:szCs w:val="21"/>
          <w:lang w:val="es"/>
        </w:rPr>
        <w:t>.</w:t>
      </w:r>
    </w:p>
    <w:p w14:paraId="728CC0D3" w14:textId="1CCE5BC9" w:rsidR="004D7390" w:rsidRPr="00A91912" w:rsidRDefault="004D7390" w:rsidP="004D7390">
      <w:pPr>
        <w:pStyle w:val="AdressKopf"/>
        <w:ind w:firstLine="708"/>
        <w:jc w:val="both"/>
        <w:rPr>
          <w:rStyle w:val="normaltextrun"/>
          <w:rFonts w:cs="Arial"/>
          <w:sz w:val="21"/>
          <w:szCs w:val="21"/>
          <w:lang w:val="es-ES"/>
        </w:rPr>
      </w:pPr>
    </w:p>
    <w:p w14:paraId="33A3EEAF" w14:textId="77777777" w:rsidR="004D7390" w:rsidRPr="00A91912" w:rsidRDefault="004D7390" w:rsidP="004D7390">
      <w:pPr>
        <w:pStyle w:val="AdressKopf"/>
        <w:ind w:firstLine="708"/>
        <w:jc w:val="both"/>
        <w:rPr>
          <w:rStyle w:val="normaltextrun"/>
          <w:rFonts w:cs="Arial"/>
          <w:sz w:val="21"/>
          <w:szCs w:val="21"/>
          <w:lang w:val="es-ES"/>
        </w:rPr>
      </w:pPr>
    </w:p>
    <w:p w14:paraId="67130C75" w14:textId="504E6023" w:rsidR="00413467" w:rsidRPr="00A91912" w:rsidRDefault="00413467" w:rsidP="00FD5A45">
      <w:pPr>
        <w:pStyle w:val="AdressKopf"/>
        <w:jc w:val="both"/>
        <w:rPr>
          <w:rStyle w:val="normaltextrun"/>
          <w:rFonts w:cs="Arial"/>
          <w:sz w:val="21"/>
          <w:szCs w:val="21"/>
          <w:lang w:val="es-ES"/>
        </w:rPr>
      </w:pPr>
    </w:p>
    <w:p w14:paraId="4B1E2865" w14:textId="4001253C" w:rsidR="00596972" w:rsidRPr="00A91912" w:rsidRDefault="00596972" w:rsidP="001B197A">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Gastronomía de clase mundial</w:t>
      </w:r>
    </w:p>
    <w:p w14:paraId="69CAF9D3" w14:textId="7E2C6749" w:rsidR="001B197A" w:rsidRPr="00A91912" w:rsidRDefault="005F163D" w:rsidP="004D7390">
      <w:pPr>
        <w:pStyle w:val="AdressKopf"/>
        <w:ind w:firstLine="708"/>
        <w:jc w:val="both"/>
        <w:rPr>
          <w:rStyle w:val="normaltextrun"/>
          <w:rFonts w:cs="Arial"/>
          <w:sz w:val="21"/>
          <w:szCs w:val="21"/>
          <w:lang w:val="es-ES"/>
        </w:rPr>
      </w:pPr>
      <w:r>
        <w:rPr>
          <w:rStyle w:val="normaltextrun"/>
          <w:rFonts w:cs="Arial"/>
          <w:sz w:val="21"/>
          <w:szCs w:val="21"/>
          <w:lang w:val="es"/>
        </w:rPr>
        <w:t xml:space="preserve">En 2023, la gastronomía Vienesa también reclama su sitio. El Café </w:t>
      </w:r>
      <w:proofErr w:type="spellStart"/>
      <w:r>
        <w:rPr>
          <w:rStyle w:val="normaltextrun"/>
          <w:rFonts w:cs="Arial"/>
          <w:sz w:val="21"/>
          <w:szCs w:val="21"/>
          <w:lang w:val="es"/>
        </w:rPr>
        <w:t>Landtmann</w:t>
      </w:r>
      <w:proofErr w:type="spellEnd"/>
      <w:r>
        <w:rPr>
          <w:rStyle w:val="normaltextrun"/>
          <w:rFonts w:cs="Arial"/>
          <w:sz w:val="21"/>
          <w:szCs w:val="21"/>
          <w:lang w:val="es"/>
        </w:rPr>
        <w:t xml:space="preserve">, uno de los más famosos de la </w:t>
      </w:r>
      <w:proofErr w:type="spellStart"/>
      <w:r>
        <w:rPr>
          <w:rStyle w:val="normaltextrun"/>
          <w:rFonts w:cs="Arial"/>
          <w:sz w:val="21"/>
          <w:szCs w:val="21"/>
          <w:lang w:val="es"/>
        </w:rPr>
        <w:t>Ringstraße</w:t>
      </w:r>
      <w:proofErr w:type="spellEnd"/>
      <w:r>
        <w:rPr>
          <w:rStyle w:val="normaltextrun"/>
          <w:rFonts w:cs="Arial"/>
          <w:sz w:val="21"/>
          <w:szCs w:val="21"/>
          <w:lang w:val="es"/>
        </w:rPr>
        <w:t xml:space="preserve"> de Viena, también celebra su 150.º aniversario. El confitero real e imperial </w:t>
      </w:r>
      <w:proofErr w:type="spellStart"/>
      <w:r>
        <w:rPr>
          <w:rStyle w:val="normaltextrun"/>
          <w:rFonts w:cs="Arial"/>
          <w:sz w:val="21"/>
          <w:szCs w:val="21"/>
          <w:lang w:val="es"/>
        </w:rPr>
        <w:t>Gerstner</w:t>
      </w:r>
      <w:proofErr w:type="spellEnd"/>
      <w:r>
        <w:rPr>
          <w:rStyle w:val="normaltextrun"/>
          <w:rFonts w:cs="Arial"/>
          <w:sz w:val="21"/>
          <w:szCs w:val="21"/>
          <w:lang w:val="es"/>
        </w:rPr>
        <w:t xml:space="preserve"> se encargó del catering imperial durante la Exposición Universal de 1873, y hoy sigue creando delicias culinarias. Pero si la Exposición hizo algo por la gastronomía vienesa, fue darle el nivel internacional que le correspondía. Y la ha sabido conservar hasta hoy. </w:t>
      </w:r>
      <w:r>
        <w:rPr>
          <w:rStyle w:val="normaltextrun"/>
          <w:rFonts w:cs="Arial"/>
          <w:i/>
          <w:iCs/>
          <w:sz w:val="21"/>
          <w:szCs w:val="21"/>
          <w:lang w:val="es"/>
        </w:rPr>
        <w:t>Visión y Auge</w:t>
      </w:r>
      <w:r>
        <w:rPr>
          <w:rStyle w:val="normaltextrun"/>
          <w:rFonts w:cs="Arial"/>
          <w:sz w:val="21"/>
          <w:szCs w:val="21"/>
          <w:lang w:val="es"/>
        </w:rPr>
        <w:t xml:space="preserve"> celebra la gastronomía vienesa contemporánea y pone la mirada en los mejores restaurantes y las cocinas más diversas, desde la italiana hasta la japonesa.</w:t>
      </w:r>
    </w:p>
    <w:p w14:paraId="26CB20EE" w14:textId="48ABA4DD" w:rsidR="001B197A" w:rsidRPr="00A91912" w:rsidRDefault="001B197A" w:rsidP="00FD5A45">
      <w:pPr>
        <w:pStyle w:val="AdressKopf"/>
        <w:jc w:val="both"/>
        <w:rPr>
          <w:rStyle w:val="normaltextrun"/>
          <w:rFonts w:cs="Arial"/>
          <w:sz w:val="21"/>
          <w:szCs w:val="21"/>
          <w:lang w:val="es-ES"/>
        </w:rPr>
      </w:pPr>
    </w:p>
    <w:p w14:paraId="13A63F37" w14:textId="1A5DE742" w:rsidR="00596972" w:rsidRPr="00A91912" w:rsidRDefault="00596972" w:rsidP="001B197A">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La amistad entre Austria y Japón</w:t>
      </w:r>
    </w:p>
    <w:p w14:paraId="7BE09689" w14:textId="464D042E" w:rsidR="001B197A" w:rsidRPr="00A91912" w:rsidRDefault="001B197A" w:rsidP="004D7390">
      <w:pPr>
        <w:pStyle w:val="AdressKopf"/>
        <w:ind w:firstLine="708"/>
        <w:jc w:val="both"/>
        <w:rPr>
          <w:rStyle w:val="normaltextrun"/>
          <w:rFonts w:cs="Arial"/>
          <w:sz w:val="21"/>
          <w:szCs w:val="21"/>
          <w:lang w:val="es-ES"/>
        </w:rPr>
      </w:pPr>
      <w:r>
        <w:rPr>
          <w:rStyle w:val="normaltextrun"/>
          <w:rFonts w:cs="Arial"/>
          <w:sz w:val="21"/>
          <w:szCs w:val="21"/>
          <w:lang w:val="es"/>
        </w:rPr>
        <w:t xml:space="preserve">Hablando de Japón: ningún otro país gozó de tanta importancia durante la Exposición Universal como la nación asiática. Viena fue el lugar en el que Japón se presentó por primera vez ante el mundo como un país moderno. ¿Por qué? Fue por aquel entonces cuando Japón dio un giro en su política geoestratégica y empezó a abrirse al mundo. La Exposición Universal de Viena se celebró durante el proceso de industrialización de Japón. </w:t>
      </w:r>
      <w:r>
        <w:rPr>
          <w:rStyle w:val="normaltextrun"/>
          <w:rFonts w:cs="Arial"/>
          <w:i/>
          <w:iCs/>
          <w:sz w:val="21"/>
          <w:szCs w:val="21"/>
          <w:lang w:val="es"/>
        </w:rPr>
        <w:t>Visión y Auge</w:t>
      </w:r>
      <w:r>
        <w:rPr>
          <w:rStyle w:val="normaltextrun"/>
          <w:rFonts w:cs="Arial"/>
          <w:sz w:val="21"/>
          <w:szCs w:val="21"/>
          <w:lang w:val="es"/>
        </w:rPr>
        <w:t xml:space="preserve"> está marcada por la Viena nipona. Empezando por los jardines y la cocina japoneses, pasando por lugares especiales como el </w:t>
      </w:r>
      <w:proofErr w:type="spellStart"/>
      <w:r>
        <w:rPr>
          <w:rStyle w:val="normaltextrun"/>
          <w:rFonts w:cs="Arial"/>
          <w:sz w:val="21"/>
          <w:szCs w:val="21"/>
          <w:lang w:val="es"/>
        </w:rPr>
        <w:t>Weltmuseum</w:t>
      </w:r>
      <w:proofErr w:type="spellEnd"/>
      <w:r>
        <w:rPr>
          <w:rStyle w:val="normaltextrun"/>
          <w:rFonts w:cs="Arial"/>
          <w:sz w:val="21"/>
          <w:szCs w:val="21"/>
          <w:lang w:val="es"/>
        </w:rPr>
        <w:t xml:space="preserve"> Wien y lugares especiales en los que se exponen fantásticos objetos relacionados con Japón y que pertenecen a la Exposición Universal. Esta particular relación tuvo un resultado que en parte ha quedado relegado al olvido: en el marco de la Exposición, Japón presentó el grano de soja por primera vez a Occidente. 1873 fue el año en el que el mundo conoció la soja. De hecho, fue en el jardín del Palacio de </w:t>
      </w:r>
      <w:proofErr w:type="spellStart"/>
      <w:r>
        <w:rPr>
          <w:rStyle w:val="normaltextrun"/>
          <w:rFonts w:cs="Arial"/>
          <w:sz w:val="21"/>
          <w:szCs w:val="21"/>
          <w:lang w:val="es"/>
        </w:rPr>
        <w:t>Schönbrunn</w:t>
      </w:r>
      <w:proofErr w:type="spellEnd"/>
      <w:r>
        <w:rPr>
          <w:rStyle w:val="normaltextrun"/>
          <w:rFonts w:cs="Arial"/>
          <w:sz w:val="21"/>
          <w:szCs w:val="21"/>
          <w:lang w:val="es"/>
        </w:rPr>
        <w:t xml:space="preserve"> donde se plantó por primera vez, precisamente donde hoy se encuentra el Museo Folclórico de Viena. En 2023 se organizarán actividades especiales relacionadas con la soja.</w:t>
      </w:r>
    </w:p>
    <w:p w14:paraId="77A148C5" w14:textId="77777777" w:rsidR="00596972" w:rsidRPr="00A91912" w:rsidRDefault="00596972" w:rsidP="001B197A">
      <w:pPr>
        <w:pStyle w:val="AdressKopf"/>
        <w:jc w:val="both"/>
        <w:rPr>
          <w:rStyle w:val="normaltextrun"/>
          <w:rFonts w:cs="Arial"/>
          <w:b/>
          <w:bCs/>
          <w:color w:val="E52236" w:themeColor="accent1"/>
          <w:sz w:val="21"/>
          <w:szCs w:val="21"/>
          <w:lang w:val="es-ES"/>
        </w:rPr>
      </w:pPr>
    </w:p>
    <w:p w14:paraId="2D58A9EF" w14:textId="35181318" w:rsidR="00596972" w:rsidRPr="00A91912" w:rsidRDefault="00596972" w:rsidP="001B197A">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Destino para la celebración de reuniones desde 1873</w:t>
      </w:r>
    </w:p>
    <w:p w14:paraId="1AE135E7" w14:textId="1F7D84B4" w:rsidR="001B197A" w:rsidRPr="00A91912" w:rsidRDefault="001B197A" w:rsidP="004D7390">
      <w:pPr>
        <w:pStyle w:val="AdressKopf"/>
        <w:ind w:firstLine="708"/>
        <w:jc w:val="both"/>
        <w:rPr>
          <w:rStyle w:val="normaltextrun"/>
          <w:rFonts w:cs="Arial"/>
          <w:sz w:val="21"/>
          <w:szCs w:val="21"/>
          <w:lang w:val="es-ES"/>
        </w:rPr>
      </w:pPr>
      <w:r>
        <w:rPr>
          <w:rStyle w:val="normaltextrun"/>
          <w:rFonts w:cs="Arial"/>
          <w:sz w:val="21"/>
          <w:szCs w:val="21"/>
          <w:lang w:val="es"/>
        </w:rPr>
        <w:t>Viena es un lugar de celebración de reuniones importantes en el que el grano de soja también tendrá una relevancia especial en 2023. Viena es una de las principales ciudades en celebración de congresos, y del 18 al 23 de junio de 2023, el Austria Center Vienna (ACV) acogerá el Congreso Internacional de la Soja. El recinto ferial de Viena, uno de los lugares más importantes de Viena para la celebración de reuniones y congresos, también tiene un vínculo especial con la Exposición Universal de 1873, ya que este recinto ferial se encuentra exactamente en el mismo sitio. Ahora se dará a conocer al público este espacio que, con el campus de la Universidad de Economía de Viena y el distrito número dos, ha supuesto el nacimiento de dos barrios de sobresalientes características arquitectónicas. La Exposición Universal de 1873 fue la primera en contar con un programa extenso y planificado. Viena ya estaba a la vanguardia de la celebración de congresos de medicina por aquel entonces.</w:t>
      </w:r>
    </w:p>
    <w:p w14:paraId="17718500" w14:textId="77777777" w:rsidR="00596972" w:rsidRPr="00A91912" w:rsidRDefault="00596972" w:rsidP="001B197A">
      <w:pPr>
        <w:pStyle w:val="AdressKopf"/>
        <w:jc w:val="both"/>
        <w:rPr>
          <w:rStyle w:val="normaltextrun"/>
          <w:rFonts w:cs="Arial"/>
          <w:b/>
          <w:bCs/>
          <w:color w:val="E52236" w:themeColor="accent1"/>
          <w:sz w:val="21"/>
          <w:szCs w:val="21"/>
          <w:lang w:val="es-ES"/>
        </w:rPr>
      </w:pPr>
    </w:p>
    <w:p w14:paraId="01B6C9CC" w14:textId="1EF42664" w:rsidR="00596972" w:rsidRPr="00A91912" w:rsidRDefault="00596972" w:rsidP="001B197A">
      <w:pPr>
        <w:pStyle w:val="AdressKopf"/>
        <w:jc w:val="both"/>
        <w:rPr>
          <w:rStyle w:val="normaltextrun"/>
          <w:rFonts w:cs="Arial"/>
          <w:b/>
          <w:bCs/>
          <w:color w:val="E52236" w:themeColor="accent1"/>
          <w:sz w:val="21"/>
          <w:szCs w:val="21"/>
          <w:lang w:val="es-ES"/>
        </w:rPr>
      </w:pPr>
      <w:r>
        <w:rPr>
          <w:rStyle w:val="normaltextrun"/>
          <w:rFonts w:cs="Arial"/>
          <w:b/>
          <w:bCs/>
          <w:color w:val="E52236" w:themeColor="accent1"/>
          <w:sz w:val="21"/>
          <w:szCs w:val="21"/>
          <w:lang w:val="es"/>
        </w:rPr>
        <w:t>La invención de la calidad de vida</w:t>
      </w:r>
    </w:p>
    <w:p w14:paraId="25B53180" w14:textId="0171B198" w:rsidR="005B02FE" w:rsidRPr="00A91912" w:rsidRDefault="001B197A" w:rsidP="004D7390">
      <w:pPr>
        <w:pStyle w:val="AdressKopf"/>
        <w:ind w:firstLine="567"/>
        <w:jc w:val="both"/>
        <w:rPr>
          <w:rStyle w:val="normaltextrun"/>
          <w:rFonts w:cs="Arial"/>
          <w:color w:val="000000" w:themeColor="text1"/>
          <w:sz w:val="21"/>
          <w:szCs w:val="21"/>
          <w:lang w:val="es-ES"/>
        </w:rPr>
      </w:pPr>
      <w:r>
        <w:rPr>
          <w:rStyle w:val="normaltextrun"/>
          <w:rFonts w:cs="Arial"/>
          <w:sz w:val="21"/>
          <w:szCs w:val="21"/>
          <w:lang w:val="es"/>
        </w:rPr>
        <w:t xml:space="preserve">En 2023 toca celebrar la famosa agua de Viena de forma especial. Y es que el 24 de octubre de 1873 se construyó el acueducto </w:t>
      </w:r>
      <w:r>
        <w:rPr>
          <w:rStyle w:val="normaltextrun"/>
          <w:rFonts w:cs="Arial"/>
          <w:i/>
          <w:iCs/>
          <w:sz w:val="21"/>
          <w:szCs w:val="21"/>
          <w:lang w:val="es"/>
        </w:rPr>
        <w:t xml:space="preserve">I. Wiener </w:t>
      </w:r>
      <w:proofErr w:type="spellStart"/>
      <w:r>
        <w:rPr>
          <w:rStyle w:val="normaltextrun"/>
          <w:rFonts w:cs="Arial"/>
          <w:i/>
          <w:iCs/>
          <w:sz w:val="21"/>
          <w:szCs w:val="21"/>
          <w:lang w:val="es"/>
        </w:rPr>
        <w:t>Hochquellenleitung</w:t>
      </w:r>
      <w:proofErr w:type="spellEnd"/>
      <w:r>
        <w:rPr>
          <w:rStyle w:val="normaltextrun"/>
          <w:rFonts w:cs="Arial"/>
          <w:sz w:val="21"/>
          <w:szCs w:val="21"/>
          <w:lang w:val="es"/>
        </w:rPr>
        <w:t xml:space="preserve">, que desde entonces abastece a Viena con agua cristalina traída de un manantial de los Alpes. Una inversión sostenible y al mismo tiempo única en una ciudad de millones de habitantes, que a su vez contribuye al alto nivel de calidad de vida por el que se distingue la urbe. En 2022 Viena fue elegida por la revista británica </w:t>
      </w:r>
      <w:r>
        <w:rPr>
          <w:rStyle w:val="normaltextrun"/>
          <w:rFonts w:cs="Arial"/>
          <w:i/>
          <w:iCs/>
          <w:sz w:val="21"/>
          <w:szCs w:val="21"/>
          <w:lang w:val="es"/>
        </w:rPr>
        <w:t>Economist</w:t>
      </w:r>
      <w:r>
        <w:rPr>
          <w:rStyle w:val="normaltextrun"/>
          <w:rFonts w:cs="Arial"/>
          <w:sz w:val="21"/>
          <w:szCs w:val="21"/>
          <w:lang w:val="es"/>
        </w:rPr>
        <w:t xml:space="preserve"> como ciudad con mayor calidad de vida del mundo por tercera vez. Con la construcción del acueducto no fue la primera vez que se pensó en el futuro de Viena. A principios de la década de 1870, a unos especuladores se les ocurrió la idea de hacerse de oro talando amplias extensiones del Bosque de Viena. Sin embargo, la </w:t>
      </w:r>
      <w:r>
        <w:rPr>
          <w:rStyle w:val="normaltextrun"/>
          <w:rFonts w:cs="Arial"/>
          <w:sz w:val="21"/>
          <w:szCs w:val="21"/>
          <w:lang w:val="es"/>
        </w:rPr>
        <w:lastRenderedPageBreak/>
        <w:t xml:space="preserve">primera campaña medioambiental divulgada a través de los medios de comunicación en la historia de Austria se lo impidió. El Bosque de Viena se salvó, y hoy es uno de los espacios de ocio y esparcimiento más importantes de la ciudad. Con un 50 % de zonas verdes, Viena es una de las metrópolis más verdes que existen. Uno motivo más para que </w:t>
      </w:r>
      <w:r>
        <w:rPr>
          <w:rStyle w:val="normaltextrun"/>
          <w:rFonts w:cs="Arial"/>
          <w:color w:val="000000" w:themeColor="text2"/>
          <w:sz w:val="21"/>
          <w:szCs w:val="21"/>
          <w:lang w:val="es"/>
        </w:rPr>
        <w:t xml:space="preserve">2023 </w:t>
      </w:r>
      <w:r>
        <w:rPr>
          <w:rFonts w:cs="Arial"/>
          <w:color w:val="000000" w:themeColor="text2"/>
          <w:sz w:val="21"/>
          <w:szCs w:val="21"/>
          <w:lang w:val="es"/>
        </w:rPr>
        <w:t>sea un año en el que celebrar el pasado, el presente y el futuro de Viena y sus grandes visiones urbanas.</w:t>
      </w:r>
    </w:p>
    <w:p w14:paraId="0AF98302" w14:textId="16570A57" w:rsidR="00A91912" w:rsidRDefault="00A91912">
      <w:pPr>
        <w:spacing w:before="0"/>
        <w:rPr>
          <w:color w:val="000000" w:themeColor="text2"/>
          <w:sz w:val="21"/>
          <w:szCs w:val="21"/>
          <w:lang w:val="es-ES"/>
        </w:rPr>
      </w:pPr>
      <w:r>
        <w:rPr>
          <w:color w:val="000000" w:themeColor="text2"/>
          <w:sz w:val="21"/>
          <w:szCs w:val="21"/>
          <w:lang w:val="es-ES"/>
        </w:rPr>
        <w:br w:type="page"/>
      </w:r>
    </w:p>
    <w:p w14:paraId="5A5A0096" w14:textId="5656B254" w:rsidR="00105C67" w:rsidRPr="00A91912" w:rsidRDefault="00105C67" w:rsidP="00596972">
      <w:pPr>
        <w:spacing w:before="0" w:line="280" w:lineRule="atLeast"/>
        <w:ind w:firstLine="567"/>
        <w:jc w:val="center"/>
        <w:rPr>
          <w:rFonts w:eastAsiaTheme="minorHAnsi" w:cs="Arial"/>
          <w:color w:val="C00000"/>
          <w:spacing w:val="4"/>
          <w:sz w:val="64"/>
          <w:szCs w:val="64"/>
          <w:lang w:val="es-ES"/>
        </w:rPr>
      </w:pPr>
      <w:r>
        <w:rPr>
          <w:rFonts w:eastAsiaTheme="minorHAnsi" w:cs="Arial"/>
          <w:color w:val="C00000"/>
          <w:sz w:val="64"/>
          <w:szCs w:val="64"/>
          <w:lang w:val="es"/>
        </w:rPr>
        <w:lastRenderedPageBreak/>
        <w:t xml:space="preserve">Cifras, datos e información sobre la </w:t>
      </w:r>
    </w:p>
    <w:p w14:paraId="455B161A" w14:textId="0A31AF03" w:rsidR="00105C67" w:rsidRPr="00A91912" w:rsidRDefault="00105C67" w:rsidP="00596972">
      <w:pPr>
        <w:spacing w:before="0" w:line="280" w:lineRule="atLeast"/>
        <w:ind w:firstLine="567"/>
        <w:jc w:val="center"/>
        <w:rPr>
          <w:rFonts w:eastAsiaTheme="minorHAnsi" w:cs="Arial"/>
          <w:color w:val="C00000"/>
          <w:spacing w:val="4"/>
          <w:sz w:val="64"/>
          <w:szCs w:val="64"/>
          <w:lang w:val="es-ES"/>
        </w:rPr>
      </w:pPr>
      <w:r>
        <w:rPr>
          <w:rFonts w:eastAsiaTheme="minorHAnsi" w:cs="Arial"/>
          <w:color w:val="C00000"/>
          <w:sz w:val="64"/>
          <w:szCs w:val="64"/>
          <w:lang w:val="es"/>
        </w:rPr>
        <w:t>Exposición Universal de Viena de 1873</w:t>
      </w:r>
    </w:p>
    <w:p w14:paraId="276950D7" w14:textId="57041496" w:rsidR="48D41ECB" w:rsidRPr="00A91912" w:rsidRDefault="48D41ECB" w:rsidP="48D41ECB">
      <w:pPr>
        <w:pStyle w:val="AdressKopf"/>
        <w:jc w:val="center"/>
        <w:rPr>
          <w:caps/>
          <w:color w:val="E52236" w:themeColor="accent1"/>
          <w:sz w:val="21"/>
          <w:szCs w:val="21"/>
          <w:lang w:val="es-ES"/>
        </w:rPr>
      </w:pPr>
    </w:p>
    <w:p w14:paraId="529690B0" w14:textId="77777777" w:rsidR="00596972" w:rsidRPr="00A91912" w:rsidRDefault="00596972" w:rsidP="48D41ECB">
      <w:pPr>
        <w:pStyle w:val="AdressKopf"/>
        <w:jc w:val="center"/>
        <w:rPr>
          <w:caps/>
          <w:color w:val="E52236" w:themeColor="accent1"/>
          <w:sz w:val="21"/>
          <w:szCs w:val="21"/>
          <w:lang w:val="es-ES"/>
        </w:rPr>
      </w:pPr>
    </w:p>
    <w:p w14:paraId="0A799253" w14:textId="68A40506" w:rsidR="48D41ECB"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es"/>
        </w:rPr>
        <w:t xml:space="preserve">53 000 expositores </w:t>
      </w:r>
    </w:p>
    <w:p w14:paraId="04F1AF4E" w14:textId="388CF616" w:rsidR="48D41ECB" w:rsidRPr="00A91912" w:rsidRDefault="48D41ECB" w:rsidP="00BB0075">
      <w:pPr>
        <w:pStyle w:val="Aufzhlung"/>
        <w:numPr>
          <w:ilvl w:val="0"/>
          <w:numId w:val="1"/>
        </w:numPr>
        <w:spacing w:line="280" w:lineRule="atLeast"/>
        <w:jc w:val="both"/>
        <w:rPr>
          <w:color w:val="000000" w:themeColor="text2"/>
          <w:sz w:val="21"/>
          <w:szCs w:val="21"/>
          <w:lang w:val="es-ES"/>
        </w:rPr>
      </w:pPr>
      <w:r>
        <w:rPr>
          <w:rFonts w:asciiTheme="majorHAnsi" w:eastAsiaTheme="majorEastAsia" w:hAnsiTheme="majorHAnsi" w:cstheme="majorBidi"/>
          <w:color w:val="000000" w:themeColor="text2"/>
          <w:sz w:val="21"/>
          <w:szCs w:val="21"/>
          <w:lang w:val="es"/>
        </w:rPr>
        <w:t>1 de mayo: la Exposición Universal se inauguró el primer día de mayo y duró hasta el 2 de noviembre de 1873</w:t>
      </w:r>
    </w:p>
    <w:p w14:paraId="3E941C8D" w14:textId="56295BB6" w:rsidR="48D41ECB" w:rsidRDefault="48D41ECB" w:rsidP="00BB0075">
      <w:pPr>
        <w:pStyle w:val="Aufzhlung"/>
        <w:numPr>
          <w:ilvl w:val="0"/>
          <w:numId w:val="1"/>
        </w:numPr>
        <w:spacing w:line="280" w:lineRule="atLeast"/>
        <w:jc w:val="both"/>
        <w:rPr>
          <w:color w:val="000000" w:themeColor="text2"/>
          <w:sz w:val="21"/>
          <w:szCs w:val="21"/>
        </w:rPr>
      </w:pPr>
      <w:r>
        <w:rPr>
          <w:rFonts w:asciiTheme="majorHAnsi" w:eastAsiaTheme="majorEastAsia" w:hAnsiTheme="majorHAnsi" w:cstheme="majorBidi"/>
          <w:color w:val="000000" w:themeColor="text2"/>
          <w:sz w:val="21"/>
          <w:szCs w:val="21"/>
          <w:lang w:val="es"/>
        </w:rPr>
        <w:t>Participaron 35 países</w:t>
      </w:r>
    </w:p>
    <w:p w14:paraId="7CCC6D79" w14:textId="343FC75B" w:rsidR="48D41ECB" w:rsidRPr="00A91912" w:rsidRDefault="48D41ECB" w:rsidP="00BB0075">
      <w:pPr>
        <w:pStyle w:val="Aufzhlung"/>
        <w:numPr>
          <w:ilvl w:val="0"/>
          <w:numId w:val="1"/>
        </w:numPr>
        <w:spacing w:line="280" w:lineRule="atLeast"/>
        <w:jc w:val="both"/>
        <w:rPr>
          <w:color w:val="000000" w:themeColor="text2"/>
          <w:sz w:val="21"/>
          <w:szCs w:val="21"/>
          <w:lang w:val="es-ES"/>
        </w:rPr>
      </w:pPr>
      <w:r>
        <w:rPr>
          <w:rFonts w:asciiTheme="majorHAnsi" w:eastAsiaTheme="majorEastAsia" w:hAnsiTheme="majorHAnsi" w:cstheme="majorBidi"/>
          <w:color w:val="000000" w:themeColor="text2"/>
          <w:sz w:val="21"/>
          <w:szCs w:val="21"/>
          <w:lang w:val="es"/>
        </w:rPr>
        <w:t>Hubo 194 pabellones con temáticas de distintos países</w:t>
      </w:r>
    </w:p>
    <w:p w14:paraId="77D15E13" w14:textId="34CDAE51" w:rsidR="48D41ECB" w:rsidRPr="00A91912"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Hubiera sido necesario caminar durante 40 días para visitar todos los pabellones</w:t>
      </w:r>
    </w:p>
    <w:p w14:paraId="6D2B9302" w14:textId="56C62352" w:rsidR="48D41ECB" w:rsidRPr="00A91912" w:rsidRDefault="48D41ECB" w:rsidP="00BB0075">
      <w:pPr>
        <w:pStyle w:val="Aufzhlung"/>
        <w:numPr>
          <w:ilvl w:val="0"/>
          <w:numId w:val="1"/>
        </w:numPr>
        <w:spacing w:line="280" w:lineRule="atLeast"/>
        <w:jc w:val="both"/>
        <w:rPr>
          <w:color w:val="000000" w:themeColor="text2"/>
          <w:sz w:val="21"/>
          <w:szCs w:val="21"/>
          <w:lang w:val="es-ES"/>
        </w:rPr>
      </w:pPr>
      <w:r>
        <w:rPr>
          <w:rFonts w:asciiTheme="majorHAnsi" w:eastAsiaTheme="majorEastAsia" w:hAnsiTheme="majorHAnsi" w:cstheme="majorBidi"/>
          <w:color w:val="000000" w:themeColor="text2"/>
          <w:sz w:val="21"/>
          <w:szCs w:val="21"/>
          <w:lang w:val="es"/>
        </w:rPr>
        <w:t>108 metros: este era el diámetro de la cúpula de la Rotunde, en aquel entonces la más grande del mundo.</w:t>
      </w:r>
    </w:p>
    <w:p w14:paraId="71607637" w14:textId="6ED84382" w:rsidR="48D41ECB" w:rsidRPr="00A91912"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La superficie de exposición de la Rotunde llegaba a los 8000 metros cuadrados</w:t>
      </w:r>
    </w:p>
    <w:p w14:paraId="304CDE34" w14:textId="61526A4E" w:rsidR="48D41ECB" w:rsidRPr="00A91912"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800 metros: esta era la longitud del pabellón de máquinas que se extendía por el recinto de la exposición y que ofrecía 40 000 metros cuadrados de superficie de exposición.</w:t>
      </w:r>
    </w:p>
    <w:p w14:paraId="5B27A326" w14:textId="0B9DBE31" w:rsidR="48D41ECB" w:rsidRPr="00A91912" w:rsidRDefault="48D41ECB" w:rsidP="00BB0075">
      <w:pPr>
        <w:pStyle w:val="Aufzhlung"/>
        <w:numPr>
          <w:ilvl w:val="0"/>
          <w:numId w:val="1"/>
        </w:numPr>
        <w:spacing w:line="280" w:lineRule="atLeast"/>
        <w:jc w:val="both"/>
        <w:rPr>
          <w:color w:val="000000" w:themeColor="text2"/>
          <w:sz w:val="21"/>
          <w:szCs w:val="21"/>
          <w:lang w:val="es-ES"/>
        </w:rPr>
      </w:pPr>
      <w:r>
        <w:rPr>
          <w:rFonts w:asciiTheme="majorHAnsi" w:eastAsiaTheme="majorEastAsia" w:hAnsiTheme="majorHAnsi" w:cstheme="majorBidi"/>
          <w:color w:val="000000" w:themeColor="text2"/>
          <w:sz w:val="21"/>
          <w:szCs w:val="21"/>
          <w:lang w:val="es"/>
        </w:rPr>
        <w:t>16 congresos especializados: la Exposición Universal incluía un amplio programa de congresos, algunos del ámbito médico</w:t>
      </w:r>
    </w:p>
    <w:p w14:paraId="2FC437A2" w14:textId="40142461" w:rsidR="48D41ECB" w:rsidRPr="00A91912"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Se concedieron 25 572 medallas en distintas categorías:</w:t>
      </w:r>
    </w:p>
    <w:p w14:paraId="551BCDE3" w14:textId="12B0CE8A"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es"/>
        </w:rPr>
        <w:t>8687 fueron concedidas «al mérito»</w:t>
      </w:r>
    </w:p>
    <w:p w14:paraId="5684412A" w14:textId="3C8339ED" w:rsidR="48D41ECB" w:rsidRPr="00A91912"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2929 medallas se entregaron como premio por los avances realizados</w:t>
      </w:r>
    </w:p>
    <w:p w14:paraId="3FE4F6A8" w14:textId="461B54B3" w:rsidR="48D41ECB" w:rsidRPr="00A91912"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2162 medallas se concedieron a empleados y empleadas</w:t>
      </w:r>
    </w:p>
    <w:p w14:paraId="4A267476" w14:textId="7A476933"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es"/>
        </w:rPr>
        <w:t>977, al arte</w:t>
      </w:r>
    </w:p>
    <w:p w14:paraId="68019814" w14:textId="7CB167DB" w:rsidR="48D41ECB" w:rsidRPr="00A91912"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t>y 310 medallas se entregaron al buen gusto</w:t>
      </w:r>
    </w:p>
    <w:p w14:paraId="223DBD9B" w14:textId="0D1BEA16" w:rsidR="48D41ECB" w:rsidRDefault="48D41ECB" w:rsidP="5D56641B">
      <w:pPr>
        <w:pStyle w:val="Aufzhlung"/>
        <w:numPr>
          <w:ilvl w:val="0"/>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es"/>
        </w:rPr>
        <w:t>116 342 metros cuadrados de superficie construida se dedicó en total a los temas industria, agricultura y cultura. La exposición se subdividió en 26 grupos y 174 secciones</w:t>
      </w:r>
    </w:p>
    <w:p w14:paraId="62B0716A" w14:textId="1E02E295" w:rsidR="48D41ECB" w:rsidRPr="00A91912" w:rsidRDefault="48D41ECB" w:rsidP="00BB0075">
      <w:pPr>
        <w:pStyle w:val="Aufzhlung"/>
        <w:numPr>
          <w:ilvl w:val="0"/>
          <w:numId w:val="1"/>
        </w:numPr>
        <w:spacing w:line="280" w:lineRule="atLeast"/>
        <w:jc w:val="both"/>
        <w:rPr>
          <w:color w:val="000000" w:themeColor="text2"/>
          <w:sz w:val="21"/>
          <w:szCs w:val="21"/>
          <w:lang w:val="es-ES"/>
        </w:rPr>
      </w:pPr>
      <w:r>
        <w:rPr>
          <w:rFonts w:asciiTheme="majorHAnsi" w:eastAsiaTheme="majorEastAsia" w:hAnsiTheme="majorHAnsi" w:cstheme="majorBidi"/>
          <w:color w:val="000000" w:themeColor="text2"/>
          <w:sz w:val="21"/>
          <w:szCs w:val="21"/>
          <w:lang w:val="es"/>
        </w:rPr>
        <w:t>En la construcción de los edificios participaron 5000 trabajadores y trabajadoras</w:t>
      </w:r>
    </w:p>
    <w:p w14:paraId="6DA7AABD" w14:textId="2769393A" w:rsidR="48D41ECB" w:rsidRPr="00A91912"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es-ES"/>
        </w:rPr>
      </w:pPr>
      <w:r>
        <w:rPr>
          <w:rFonts w:asciiTheme="majorHAnsi" w:eastAsiaTheme="majorEastAsia" w:hAnsiTheme="majorHAnsi" w:cstheme="majorBidi"/>
          <w:color w:val="000000" w:themeColor="text2"/>
          <w:sz w:val="21"/>
          <w:szCs w:val="21"/>
          <w:lang w:val="es"/>
        </w:rPr>
        <w:lastRenderedPageBreak/>
        <w:t>Un déficit de 14,8 millones de florines: la Exposición Universal no fue un hito económico, aunque sí impulsó el desarrollo de Viena más que ningún otro gran evento. En lugar de los 15 millones de visitantes esperados, tan solo acudieron 7,25. La causa fue un brote de cólera que causó 3000 muertos.</w:t>
      </w:r>
    </w:p>
    <w:p w14:paraId="210BA710" w14:textId="6DF96215" w:rsidR="48D41ECB" w:rsidRPr="00A91912" w:rsidRDefault="48D41ECB" w:rsidP="48D41ECB">
      <w:pPr>
        <w:pStyle w:val="AdressKopf"/>
        <w:jc w:val="both"/>
        <w:rPr>
          <w:color w:val="000000" w:themeColor="text2"/>
          <w:sz w:val="21"/>
          <w:szCs w:val="21"/>
          <w:lang w:val="es-ES"/>
        </w:rPr>
      </w:pPr>
    </w:p>
    <w:sectPr w:rsidR="48D41ECB" w:rsidRPr="00A91912" w:rsidSect="00EF277F">
      <w:headerReference w:type="default" r:id="rId11"/>
      <w:footerReference w:type="default" r:id="rId12"/>
      <w:footerReference w:type="first" r:id="rId13"/>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2B15" w14:textId="77777777" w:rsidR="000A25EE" w:rsidRDefault="000A25EE" w:rsidP="00474F51">
      <w:r>
        <w:separator/>
      </w:r>
    </w:p>
  </w:endnote>
  <w:endnote w:type="continuationSeparator" w:id="0">
    <w:p w14:paraId="0DBB3557" w14:textId="77777777" w:rsidR="000A25EE" w:rsidRDefault="000A25EE" w:rsidP="00474F51">
      <w:r>
        <w:continuationSeparator/>
      </w:r>
    </w:p>
  </w:endnote>
  <w:endnote w:type="continuationNotice" w:id="1">
    <w:p w14:paraId="4CE610B3" w14:textId="77777777" w:rsidR="000A25EE" w:rsidRDefault="000A25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Graphik LCG Regular">
    <w:panose1 w:val="020B050303020206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8E16" w14:textId="34E9CBF6" w:rsidR="00AD479F" w:rsidRDefault="00A91912" w:rsidP="00431005">
    <w:pPr>
      <w:pStyle w:val="Fuzeile"/>
    </w:pPr>
    <w:r w:rsidRPr="00A91912">
      <w:rPr>
        <w:noProof/>
        <w:lang w:eastAsia="de-AT"/>
      </w:rPr>
      <w:drawing>
        <wp:anchor distT="0" distB="0" distL="114300" distR="114300" simplePos="0" relativeHeight="251660289" behindDoc="0" locked="1" layoutInCell="1" allowOverlap="1" wp14:anchorId="0842668D" wp14:editId="7664DBF4">
          <wp:simplePos x="0" y="0"/>
          <wp:positionH relativeFrom="margin">
            <wp:align>center</wp:align>
          </wp:positionH>
          <wp:positionV relativeFrom="margin">
            <wp:posOffset>8461375</wp:posOffset>
          </wp:positionV>
          <wp:extent cx="1159200" cy="180000"/>
          <wp:effectExtent l="0" t="0" r="3175"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159200" cy="180000"/>
                  </a:xfrm>
                  <a:prstGeom prst="rect">
                    <a:avLst/>
                  </a:prstGeom>
                </pic:spPr>
              </pic:pic>
            </a:graphicData>
          </a:graphic>
          <wp14:sizeRelH relativeFrom="margin">
            <wp14:pctWidth>0</wp14:pctWidth>
          </wp14:sizeRelH>
          <wp14:sizeRelV relativeFrom="margin">
            <wp14:pctHeight>0</wp14:pctHeight>
          </wp14:sizeRelV>
        </wp:anchor>
      </w:drawing>
    </w:r>
    <w:r w:rsidRPr="00A91912">
      <w:rPr>
        <w:lang w:val="es"/>
      </w:rPr>
      <w:softHyphen/>
    </w:r>
    <w:r w:rsidRPr="00A91912">
      <w:rPr>
        <w:lang w:val="es"/>
      </w:rPr>
      <w:fldChar w:fldCharType="begin"/>
    </w:r>
    <w:r w:rsidRPr="00A91912">
      <w:rPr>
        <w:lang w:val="es"/>
      </w:rPr>
      <w:instrText xml:space="preserve"> PAGE  \* MERGEFORMAT </w:instrText>
    </w:r>
    <w:r w:rsidRPr="00A91912">
      <w:rPr>
        <w:lang w:val="es"/>
      </w:rPr>
      <w:fldChar w:fldCharType="separate"/>
    </w:r>
    <w:r w:rsidRPr="00A91912">
      <w:rPr>
        <w:noProof/>
        <w:lang w:val="es"/>
      </w:rPr>
      <w:t>1</w:t>
    </w:r>
    <w:r w:rsidRPr="00A91912">
      <w:rPr>
        <w:lang w:val="es"/>
      </w:rPr>
      <w:fldChar w:fldCharType="end"/>
    </w:r>
    <w:r w:rsidRPr="00A91912">
      <w:rPr>
        <w:lang w:val="es"/>
      </w:rPr>
      <w:t>/</w:t>
    </w:r>
    <w:r w:rsidRPr="00A91912">
      <w:rPr>
        <w:lang w:val="es"/>
      </w:rPr>
      <w:fldChar w:fldCharType="begin"/>
    </w:r>
    <w:r w:rsidRPr="00A91912">
      <w:rPr>
        <w:lang w:val="es"/>
      </w:rPr>
      <w:instrText xml:space="preserve"> NUMPAGES  \* MERGEFORMAT </w:instrText>
    </w:r>
    <w:r w:rsidRPr="00A91912">
      <w:rPr>
        <w:lang w:val="es"/>
      </w:rPr>
      <w:fldChar w:fldCharType="separate"/>
    </w:r>
    <w:r w:rsidRPr="00A91912">
      <w:rPr>
        <w:noProof/>
        <w:lang w:val="es"/>
      </w:rPr>
      <w:t>1</w:t>
    </w:r>
    <w:r w:rsidRPr="00A91912">
      <w:rPr>
        <w:noProof/>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223F" w14:textId="77777777" w:rsidR="00313D79" w:rsidRDefault="00BA1987" w:rsidP="00B13391">
    <w:pPr>
      <w:pStyle w:val="Fuzeile"/>
    </w:pPr>
    <w:r>
      <w:rPr>
        <w:noProof/>
        <w:lang w:val="es"/>
      </w:rPr>
      <w:drawing>
        <wp:anchor distT="0" distB="0" distL="114300" distR="114300" simplePos="0" relativeHeight="251658241" behindDoc="0" locked="1" layoutInCell="1" allowOverlap="1" wp14:anchorId="3AF9EECF" wp14:editId="214B5B09">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E954" w14:textId="77777777" w:rsidR="000A25EE" w:rsidRDefault="000A25EE" w:rsidP="00474F51">
      <w:r>
        <w:separator/>
      </w:r>
    </w:p>
  </w:footnote>
  <w:footnote w:type="continuationSeparator" w:id="0">
    <w:p w14:paraId="43DBC90E" w14:textId="77777777" w:rsidR="000A25EE" w:rsidRDefault="000A25EE" w:rsidP="00474F51">
      <w:r>
        <w:continuationSeparator/>
      </w:r>
    </w:p>
  </w:footnote>
  <w:footnote w:type="continuationNotice" w:id="1">
    <w:p w14:paraId="2C267240" w14:textId="77777777" w:rsidR="000A25EE" w:rsidRDefault="000A25E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CellMar>
        <w:left w:w="0" w:type="dxa"/>
        <w:right w:w="0" w:type="dxa"/>
      </w:tblCellMar>
      <w:tblLook w:val="04A0" w:firstRow="1" w:lastRow="0" w:firstColumn="1" w:lastColumn="0" w:noHBand="0" w:noVBand="1"/>
    </w:tblPr>
    <w:tblGrid>
      <w:gridCol w:w="7885"/>
      <w:gridCol w:w="1747"/>
    </w:tblGrid>
    <w:tr w:rsidR="00E54EB7" w14:paraId="02A99642" w14:textId="77777777" w:rsidTr="00EF277F">
      <w:trPr>
        <w:trHeight w:val="312"/>
      </w:trPr>
      <w:tc>
        <w:tcPr>
          <w:tcW w:w="6670" w:type="dxa"/>
          <w:tcBorders>
            <w:top w:val="nil"/>
            <w:left w:val="nil"/>
            <w:bottom w:val="nil"/>
            <w:right w:val="nil"/>
          </w:tcBorders>
          <w:tcMar>
            <w:left w:w="0" w:type="dxa"/>
            <w:right w:w="0" w:type="dxa"/>
          </w:tcMar>
        </w:tcPr>
        <w:p w14:paraId="045AD150" w14:textId="77777777" w:rsidR="006B0843" w:rsidRDefault="006B0843" w:rsidP="008E30FB">
          <w:pPr>
            <w:pStyle w:val="Kopfzeile"/>
          </w:pPr>
        </w:p>
      </w:tc>
      <w:tc>
        <w:tcPr>
          <w:tcW w:w="1478" w:type="dxa"/>
          <w:tcBorders>
            <w:top w:val="nil"/>
            <w:left w:val="nil"/>
            <w:bottom w:val="nil"/>
            <w:right w:val="nil"/>
          </w:tcBorders>
        </w:tcPr>
        <w:p w14:paraId="2B1C95BF" w14:textId="77777777" w:rsidR="006B0843" w:rsidRDefault="006B0843" w:rsidP="00EF277F">
          <w:pPr>
            <w:pStyle w:val="Kopfzeile"/>
            <w:jc w:val="right"/>
          </w:pPr>
        </w:p>
      </w:tc>
    </w:tr>
  </w:tbl>
  <w:p w14:paraId="3EF61B99" w14:textId="77777777" w:rsidR="00AD479F" w:rsidRPr="00E54EB7" w:rsidRDefault="00AD479F" w:rsidP="00474F51">
    <w:pPr>
      <w:pStyle w:val="Kopfzeile"/>
      <w:rPr>
        <w:rStyle w:val="Funotenzeich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AA8FA72"/>
    <w:name w:val="WWNum43"/>
    <w:lvl w:ilvl="0">
      <w:start w:val="1"/>
      <w:numFmt w:val="bullet"/>
      <w:lvlText w:val=""/>
      <w:lvlJc w:val="left"/>
      <w:pPr>
        <w:tabs>
          <w:tab w:val="num" w:pos="0"/>
        </w:tabs>
        <w:ind w:left="720" w:hanging="360"/>
      </w:pPr>
      <w:rPr>
        <w:rFonts w:ascii="Symbol" w:hAnsi="Symbol" w:hint="default"/>
        <w:b w:val="0"/>
        <w:bCs w:val="0"/>
        <w:i w:val="0"/>
        <w:iCs w:val="0"/>
        <w:caps w:val="0"/>
        <w:smallCaps w:val="0"/>
        <w:strike w:val="0"/>
        <w:dstrike w:val="0"/>
        <w:outline w:val="0"/>
        <w:shadow w:val="0"/>
        <w:emboss w:val="0"/>
        <w:imprint w:val="0"/>
        <w:vanish w:val="0"/>
        <w:color w:val="FF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E7CC60"/>
    <w:multiLevelType w:val="hybridMultilevel"/>
    <w:tmpl w:val="6A20CD88"/>
    <w:lvl w:ilvl="0" w:tplc="0E8A3500">
      <w:start w:val="1"/>
      <w:numFmt w:val="bullet"/>
      <w:lvlText w:val=""/>
      <w:lvlJc w:val="left"/>
      <w:pPr>
        <w:ind w:left="720" w:hanging="360"/>
      </w:pPr>
      <w:rPr>
        <w:rFonts w:ascii="Symbol" w:hAnsi="Symbol" w:hint="default"/>
        <w:b w:val="0"/>
        <w:i w:val="0"/>
        <w:color w:val="C00000"/>
        <w:sz w:val="18"/>
      </w:rPr>
    </w:lvl>
    <w:lvl w:ilvl="1" w:tplc="251620BA">
      <w:start w:val="1"/>
      <w:numFmt w:val="bullet"/>
      <w:lvlText w:val="o"/>
      <w:lvlJc w:val="left"/>
      <w:pPr>
        <w:ind w:left="1440" w:hanging="360"/>
      </w:pPr>
      <w:rPr>
        <w:rFonts w:ascii="Courier New" w:hAnsi="Courier New" w:hint="default"/>
      </w:rPr>
    </w:lvl>
    <w:lvl w:ilvl="2" w:tplc="D2CA28C4">
      <w:start w:val="1"/>
      <w:numFmt w:val="bullet"/>
      <w:lvlText w:val=""/>
      <w:lvlJc w:val="left"/>
      <w:pPr>
        <w:ind w:left="2160" w:hanging="360"/>
      </w:pPr>
      <w:rPr>
        <w:rFonts w:ascii="Wingdings" w:hAnsi="Wingdings" w:hint="default"/>
      </w:rPr>
    </w:lvl>
    <w:lvl w:ilvl="3" w:tplc="4AF0702A">
      <w:start w:val="1"/>
      <w:numFmt w:val="bullet"/>
      <w:lvlText w:val=""/>
      <w:lvlJc w:val="left"/>
      <w:pPr>
        <w:ind w:left="2880" w:hanging="360"/>
      </w:pPr>
      <w:rPr>
        <w:rFonts w:ascii="Symbol" w:hAnsi="Symbol" w:hint="default"/>
      </w:rPr>
    </w:lvl>
    <w:lvl w:ilvl="4" w:tplc="62D60ABA">
      <w:start w:val="1"/>
      <w:numFmt w:val="bullet"/>
      <w:lvlText w:val="o"/>
      <w:lvlJc w:val="left"/>
      <w:pPr>
        <w:ind w:left="3600" w:hanging="360"/>
      </w:pPr>
      <w:rPr>
        <w:rFonts w:ascii="Courier New" w:hAnsi="Courier New" w:hint="default"/>
      </w:rPr>
    </w:lvl>
    <w:lvl w:ilvl="5" w:tplc="DB529928">
      <w:start w:val="1"/>
      <w:numFmt w:val="bullet"/>
      <w:lvlText w:val=""/>
      <w:lvlJc w:val="left"/>
      <w:pPr>
        <w:ind w:left="4320" w:hanging="360"/>
      </w:pPr>
      <w:rPr>
        <w:rFonts w:ascii="Wingdings" w:hAnsi="Wingdings" w:hint="default"/>
      </w:rPr>
    </w:lvl>
    <w:lvl w:ilvl="6" w:tplc="1918333C">
      <w:start w:val="1"/>
      <w:numFmt w:val="bullet"/>
      <w:lvlText w:val=""/>
      <w:lvlJc w:val="left"/>
      <w:pPr>
        <w:ind w:left="5040" w:hanging="360"/>
      </w:pPr>
      <w:rPr>
        <w:rFonts w:ascii="Symbol" w:hAnsi="Symbol" w:hint="default"/>
      </w:rPr>
    </w:lvl>
    <w:lvl w:ilvl="7" w:tplc="F2BEF82E">
      <w:start w:val="1"/>
      <w:numFmt w:val="bullet"/>
      <w:lvlText w:val="o"/>
      <w:lvlJc w:val="left"/>
      <w:pPr>
        <w:ind w:left="5760" w:hanging="360"/>
      </w:pPr>
      <w:rPr>
        <w:rFonts w:ascii="Courier New" w:hAnsi="Courier New" w:hint="default"/>
      </w:rPr>
    </w:lvl>
    <w:lvl w:ilvl="8" w:tplc="BDA88CF8">
      <w:start w:val="1"/>
      <w:numFmt w:val="bullet"/>
      <w:lvlText w:val=""/>
      <w:lvlJc w:val="left"/>
      <w:pPr>
        <w:ind w:left="6480" w:hanging="360"/>
      </w:pPr>
      <w:rPr>
        <w:rFonts w:ascii="Wingdings" w:hAnsi="Wingdings" w:hint="default"/>
      </w:rPr>
    </w:lvl>
  </w:abstractNum>
  <w:abstractNum w:abstractNumId="3" w15:restartNumberingAfterBreak="0">
    <w:nsid w:val="70F52E59"/>
    <w:multiLevelType w:val="multilevel"/>
    <w:tmpl w:val="BA526400"/>
    <w:lvl w:ilvl="0">
      <w:start w:val="1"/>
      <w:numFmt w:val="decimal"/>
      <w:pStyle w:val="berschrift1"/>
      <w:lvlText w:val="%1"/>
      <w:lvlJc w:val="left"/>
      <w:pPr>
        <w:tabs>
          <w:tab w:val="num" w:pos="567"/>
        </w:tabs>
        <w:ind w:left="567" w:hanging="567"/>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711C7DCF"/>
    <w:multiLevelType w:val="hybridMultilevel"/>
    <w:tmpl w:val="B4EE7B92"/>
    <w:lvl w:ilvl="0" w:tplc="CCB02FE4">
      <w:start w:val="1"/>
      <w:numFmt w:val="decimal"/>
      <w:pStyle w:val="Nummerierung"/>
      <w:lvlText w:val="%1."/>
      <w:lvlJc w:val="left"/>
      <w:pPr>
        <w:tabs>
          <w:tab w:val="num" w:pos="794"/>
        </w:tabs>
        <w:ind w:left="794" w:hanging="227"/>
      </w:pPr>
      <w:rPr>
        <w:rFonts w:hint="default"/>
        <w:color w:val="E5223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7587340">
    <w:abstractNumId w:val="2"/>
  </w:num>
  <w:num w:numId="2" w16cid:durableId="679309533">
    <w:abstractNumId w:val="1"/>
  </w:num>
  <w:num w:numId="3" w16cid:durableId="270237689">
    <w:abstractNumId w:val="3"/>
  </w:num>
  <w:num w:numId="4" w16cid:durableId="34886895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58"/>
    <w:rsid w:val="00000788"/>
    <w:rsid w:val="00002CA9"/>
    <w:rsid w:val="00013DFE"/>
    <w:rsid w:val="000158F1"/>
    <w:rsid w:val="000169C0"/>
    <w:rsid w:val="00020AB1"/>
    <w:rsid w:val="00021A4A"/>
    <w:rsid w:val="00024E41"/>
    <w:rsid w:val="000252E1"/>
    <w:rsid w:val="00027575"/>
    <w:rsid w:val="00034C92"/>
    <w:rsid w:val="00036856"/>
    <w:rsid w:val="00052DC1"/>
    <w:rsid w:val="00057F74"/>
    <w:rsid w:val="00067556"/>
    <w:rsid w:val="00070B47"/>
    <w:rsid w:val="00072209"/>
    <w:rsid w:val="00080FD6"/>
    <w:rsid w:val="0009442C"/>
    <w:rsid w:val="00095BAA"/>
    <w:rsid w:val="00097195"/>
    <w:rsid w:val="000A25EE"/>
    <w:rsid w:val="000A41BB"/>
    <w:rsid w:val="000A6C31"/>
    <w:rsid w:val="000B5164"/>
    <w:rsid w:val="000D3840"/>
    <w:rsid w:val="000D45B0"/>
    <w:rsid w:val="000D57DA"/>
    <w:rsid w:val="000E0DB4"/>
    <w:rsid w:val="000F230F"/>
    <w:rsid w:val="000F7051"/>
    <w:rsid w:val="000F7E16"/>
    <w:rsid w:val="00100463"/>
    <w:rsid w:val="00102099"/>
    <w:rsid w:val="00105C67"/>
    <w:rsid w:val="001060C6"/>
    <w:rsid w:val="001113F7"/>
    <w:rsid w:val="00115FAC"/>
    <w:rsid w:val="0012071B"/>
    <w:rsid w:val="00120A66"/>
    <w:rsid w:val="00130A80"/>
    <w:rsid w:val="001516E1"/>
    <w:rsid w:val="00154274"/>
    <w:rsid w:val="00154679"/>
    <w:rsid w:val="001565B0"/>
    <w:rsid w:val="00161DD6"/>
    <w:rsid w:val="00161F2B"/>
    <w:rsid w:val="001622A8"/>
    <w:rsid w:val="001659D7"/>
    <w:rsid w:val="00167392"/>
    <w:rsid w:val="0017342B"/>
    <w:rsid w:val="001906A0"/>
    <w:rsid w:val="00193143"/>
    <w:rsid w:val="001A4A67"/>
    <w:rsid w:val="001A5E25"/>
    <w:rsid w:val="001A7B45"/>
    <w:rsid w:val="001B197A"/>
    <w:rsid w:val="001B3832"/>
    <w:rsid w:val="001B38E7"/>
    <w:rsid w:val="001B48F1"/>
    <w:rsid w:val="001C1BF3"/>
    <w:rsid w:val="001C30E9"/>
    <w:rsid w:val="001C7ADF"/>
    <w:rsid w:val="001E1943"/>
    <w:rsid w:val="001E207E"/>
    <w:rsid w:val="001E38D9"/>
    <w:rsid w:val="001F5E75"/>
    <w:rsid w:val="002200A9"/>
    <w:rsid w:val="0022396F"/>
    <w:rsid w:val="00227B87"/>
    <w:rsid w:val="0024079C"/>
    <w:rsid w:val="00241103"/>
    <w:rsid w:val="00243573"/>
    <w:rsid w:val="00245D8A"/>
    <w:rsid w:val="00251921"/>
    <w:rsid w:val="002714A5"/>
    <w:rsid w:val="002771E0"/>
    <w:rsid w:val="00280E9D"/>
    <w:rsid w:val="00282681"/>
    <w:rsid w:val="00285F6E"/>
    <w:rsid w:val="00286626"/>
    <w:rsid w:val="002A0943"/>
    <w:rsid w:val="002A112B"/>
    <w:rsid w:val="002B0253"/>
    <w:rsid w:val="002B7A9F"/>
    <w:rsid w:val="002C1A64"/>
    <w:rsid w:val="002C4539"/>
    <w:rsid w:val="002D1149"/>
    <w:rsid w:val="002E068C"/>
    <w:rsid w:val="002E56D4"/>
    <w:rsid w:val="002F48FB"/>
    <w:rsid w:val="0030347C"/>
    <w:rsid w:val="00310FB7"/>
    <w:rsid w:val="00313D79"/>
    <w:rsid w:val="00322135"/>
    <w:rsid w:val="00332741"/>
    <w:rsid w:val="0034026F"/>
    <w:rsid w:val="0034641F"/>
    <w:rsid w:val="00355CCA"/>
    <w:rsid w:val="00356D8B"/>
    <w:rsid w:val="00362ED1"/>
    <w:rsid w:val="00370114"/>
    <w:rsid w:val="003708FA"/>
    <w:rsid w:val="00374338"/>
    <w:rsid w:val="00375794"/>
    <w:rsid w:val="00377D77"/>
    <w:rsid w:val="00380A95"/>
    <w:rsid w:val="003865DB"/>
    <w:rsid w:val="003A2371"/>
    <w:rsid w:val="003A3232"/>
    <w:rsid w:val="003A5A74"/>
    <w:rsid w:val="003B19D4"/>
    <w:rsid w:val="003B5776"/>
    <w:rsid w:val="003B6674"/>
    <w:rsid w:val="003B6A5A"/>
    <w:rsid w:val="003B77C5"/>
    <w:rsid w:val="003C55D6"/>
    <w:rsid w:val="003E4FBF"/>
    <w:rsid w:val="003F0B1D"/>
    <w:rsid w:val="003F1B94"/>
    <w:rsid w:val="003F4DEB"/>
    <w:rsid w:val="0040014C"/>
    <w:rsid w:val="004020EA"/>
    <w:rsid w:val="00403BB4"/>
    <w:rsid w:val="0040406D"/>
    <w:rsid w:val="004055A7"/>
    <w:rsid w:val="00413467"/>
    <w:rsid w:val="00416458"/>
    <w:rsid w:val="00431005"/>
    <w:rsid w:val="004359ED"/>
    <w:rsid w:val="00453809"/>
    <w:rsid w:val="00455D80"/>
    <w:rsid w:val="00463558"/>
    <w:rsid w:val="00472203"/>
    <w:rsid w:val="00474F51"/>
    <w:rsid w:val="00486F0B"/>
    <w:rsid w:val="00494418"/>
    <w:rsid w:val="004947F9"/>
    <w:rsid w:val="004958FA"/>
    <w:rsid w:val="00497071"/>
    <w:rsid w:val="004A36CE"/>
    <w:rsid w:val="004A78ED"/>
    <w:rsid w:val="004C33B3"/>
    <w:rsid w:val="004C3692"/>
    <w:rsid w:val="004C7043"/>
    <w:rsid w:val="004C717A"/>
    <w:rsid w:val="004D0DD8"/>
    <w:rsid w:val="004D3DEC"/>
    <w:rsid w:val="004D7390"/>
    <w:rsid w:val="004E12AA"/>
    <w:rsid w:val="004E2AF7"/>
    <w:rsid w:val="004E6CDC"/>
    <w:rsid w:val="004F422B"/>
    <w:rsid w:val="00502F62"/>
    <w:rsid w:val="0050345F"/>
    <w:rsid w:val="00504949"/>
    <w:rsid w:val="0051451B"/>
    <w:rsid w:val="00516415"/>
    <w:rsid w:val="005204BB"/>
    <w:rsid w:val="0052648B"/>
    <w:rsid w:val="00531819"/>
    <w:rsid w:val="005325B5"/>
    <w:rsid w:val="00532913"/>
    <w:rsid w:val="005332E0"/>
    <w:rsid w:val="0054028E"/>
    <w:rsid w:val="00544248"/>
    <w:rsid w:val="005464BB"/>
    <w:rsid w:val="0055246A"/>
    <w:rsid w:val="00552E30"/>
    <w:rsid w:val="005538A8"/>
    <w:rsid w:val="00555A94"/>
    <w:rsid w:val="00563E1D"/>
    <w:rsid w:val="00566DF3"/>
    <w:rsid w:val="00570455"/>
    <w:rsid w:val="005704E0"/>
    <w:rsid w:val="00574CAE"/>
    <w:rsid w:val="00581BAC"/>
    <w:rsid w:val="00595CE3"/>
    <w:rsid w:val="00596972"/>
    <w:rsid w:val="005A1A41"/>
    <w:rsid w:val="005A6224"/>
    <w:rsid w:val="005B00E7"/>
    <w:rsid w:val="005B02FE"/>
    <w:rsid w:val="005C09D7"/>
    <w:rsid w:val="005C2B31"/>
    <w:rsid w:val="005D00CE"/>
    <w:rsid w:val="005D28CC"/>
    <w:rsid w:val="005D7344"/>
    <w:rsid w:val="005F0842"/>
    <w:rsid w:val="005F163D"/>
    <w:rsid w:val="005F1682"/>
    <w:rsid w:val="00600956"/>
    <w:rsid w:val="0060251C"/>
    <w:rsid w:val="00604CBF"/>
    <w:rsid w:val="00620D5E"/>
    <w:rsid w:val="00624513"/>
    <w:rsid w:val="00627977"/>
    <w:rsid w:val="00630636"/>
    <w:rsid w:val="00640BD0"/>
    <w:rsid w:val="00642045"/>
    <w:rsid w:val="00644DD4"/>
    <w:rsid w:val="00646C90"/>
    <w:rsid w:val="00650D77"/>
    <w:rsid w:val="00657479"/>
    <w:rsid w:val="00684639"/>
    <w:rsid w:val="00684C93"/>
    <w:rsid w:val="00692EAE"/>
    <w:rsid w:val="00692FAD"/>
    <w:rsid w:val="006B0843"/>
    <w:rsid w:val="006B1804"/>
    <w:rsid w:val="006B30A0"/>
    <w:rsid w:val="006B6449"/>
    <w:rsid w:val="006C09FA"/>
    <w:rsid w:val="006C1557"/>
    <w:rsid w:val="006C49CC"/>
    <w:rsid w:val="006C6A5D"/>
    <w:rsid w:val="006D41FB"/>
    <w:rsid w:val="006E087B"/>
    <w:rsid w:val="006E1250"/>
    <w:rsid w:val="00703090"/>
    <w:rsid w:val="007046D9"/>
    <w:rsid w:val="00706E22"/>
    <w:rsid w:val="00716105"/>
    <w:rsid w:val="007214CD"/>
    <w:rsid w:val="007235F2"/>
    <w:rsid w:val="007247EE"/>
    <w:rsid w:val="007337FC"/>
    <w:rsid w:val="00736A31"/>
    <w:rsid w:val="00740E04"/>
    <w:rsid w:val="00752866"/>
    <w:rsid w:val="00753D17"/>
    <w:rsid w:val="0076558D"/>
    <w:rsid w:val="007658C7"/>
    <w:rsid w:val="0077766B"/>
    <w:rsid w:val="00777A8F"/>
    <w:rsid w:val="0078183A"/>
    <w:rsid w:val="007856F3"/>
    <w:rsid w:val="00786AA8"/>
    <w:rsid w:val="007B1E63"/>
    <w:rsid w:val="007B2F84"/>
    <w:rsid w:val="007D2AAD"/>
    <w:rsid w:val="007D2F5A"/>
    <w:rsid w:val="007D6465"/>
    <w:rsid w:val="007E26DE"/>
    <w:rsid w:val="007E3014"/>
    <w:rsid w:val="007E44A5"/>
    <w:rsid w:val="00807E38"/>
    <w:rsid w:val="008103DF"/>
    <w:rsid w:val="00817455"/>
    <w:rsid w:val="00823C1B"/>
    <w:rsid w:val="00823F98"/>
    <w:rsid w:val="0083031E"/>
    <w:rsid w:val="00836654"/>
    <w:rsid w:val="00836A29"/>
    <w:rsid w:val="0084258E"/>
    <w:rsid w:val="008442F8"/>
    <w:rsid w:val="00856ABE"/>
    <w:rsid w:val="0086668D"/>
    <w:rsid w:val="00867B42"/>
    <w:rsid w:val="00871DBD"/>
    <w:rsid w:val="00880771"/>
    <w:rsid w:val="00892C72"/>
    <w:rsid w:val="008A68EA"/>
    <w:rsid w:val="008B212E"/>
    <w:rsid w:val="008B7BF1"/>
    <w:rsid w:val="008C0A4B"/>
    <w:rsid w:val="008C19A5"/>
    <w:rsid w:val="008C32FF"/>
    <w:rsid w:val="008D6C7D"/>
    <w:rsid w:val="008E30FB"/>
    <w:rsid w:val="008F17C7"/>
    <w:rsid w:val="008F50C4"/>
    <w:rsid w:val="008F6326"/>
    <w:rsid w:val="0090095A"/>
    <w:rsid w:val="00901BFA"/>
    <w:rsid w:val="00920103"/>
    <w:rsid w:val="00930C8A"/>
    <w:rsid w:val="00931DCF"/>
    <w:rsid w:val="009324C5"/>
    <w:rsid w:val="00936C68"/>
    <w:rsid w:val="00941E1E"/>
    <w:rsid w:val="00943CA8"/>
    <w:rsid w:val="00945057"/>
    <w:rsid w:val="00955231"/>
    <w:rsid w:val="00970553"/>
    <w:rsid w:val="009833D0"/>
    <w:rsid w:val="00987C1A"/>
    <w:rsid w:val="0099078F"/>
    <w:rsid w:val="00993A95"/>
    <w:rsid w:val="00996249"/>
    <w:rsid w:val="009B086A"/>
    <w:rsid w:val="009B1D1F"/>
    <w:rsid w:val="009B3393"/>
    <w:rsid w:val="009C022F"/>
    <w:rsid w:val="009D0DEF"/>
    <w:rsid w:val="009D2A90"/>
    <w:rsid w:val="009D55DD"/>
    <w:rsid w:val="009E20F3"/>
    <w:rsid w:val="009E28E4"/>
    <w:rsid w:val="009E3299"/>
    <w:rsid w:val="009F729B"/>
    <w:rsid w:val="00A1240D"/>
    <w:rsid w:val="00A12818"/>
    <w:rsid w:val="00A327BD"/>
    <w:rsid w:val="00A44732"/>
    <w:rsid w:val="00A55933"/>
    <w:rsid w:val="00A56596"/>
    <w:rsid w:val="00A60045"/>
    <w:rsid w:val="00A60173"/>
    <w:rsid w:val="00A91912"/>
    <w:rsid w:val="00A91FF9"/>
    <w:rsid w:val="00A94DD5"/>
    <w:rsid w:val="00AA39A4"/>
    <w:rsid w:val="00AA5765"/>
    <w:rsid w:val="00AB30E0"/>
    <w:rsid w:val="00AD2B72"/>
    <w:rsid w:val="00AD479F"/>
    <w:rsid w:val="00AD62F0"/>
    <w:rsid w:val="00AE6428"/>
    <w:rsid w:val="00AE6D98"/>
    <w:rsid w:val="00AF0029"/>
    <w:rsid w:val="00AF23C2"/>
    <w:rsid w:val="00AF3D9E"/>
    <w:rsid w:val="00AF559D"/>
    <w:rsid w:val="00B00A79"/>
    <w:rsid w:val="00B01D5B"/>
    <w:rsid w:val="00B13391"/>
    <w:rsid w:val="00B15C88"/>
    <w:rsid w:val="00B210CD"/>
    <w:rsid w:val="00B22B9D"/>
    <w:rsid w:val="00B365EC"/>
    <w:rsid w:val="00B378FC"/>
    <w:rsid w:val="00B46FD1"/>
    <w:rsid w:val="00B5179D"/>
    <w:rsid w:val="00B54946"/>
    <w:rsid w:val="00B55407"/>
    <w:rsid w:val="00B56F6B"/>
    <w:rsid w:val="00B61701"/>
    <w:rsid w:val="00B71AC8"/>
    <w:rsid w:val="00B814E3"/>
    <w:rsid w:val="00B82626"/>
    <w:rsid w:val="00B82D4D"/>
    <w:rsid w:val="00B945F0"/>
    <w:rsid w:val="00BA1987"/>
    <w:rsid w:val="00BA5F00"/>
    <w:rsid w:val="00BA5FD9"/>
    <w:rsid w:val="00BB0075"/>
    <w:rsid w:val="00BB497D"/>
    <w:rsid w:val="00BB6130"/>
    <w:rsid w:val="00BB7BF7"/>
    <w:rsid w:val="00BC5739"/>
    <w:rsid w:val="00BC6579"/>
    <w:rsid w:val="00BD0347"/>
    <w:rsid w:val="00BD6998"/>
    <w:rsid w:val="00BE07BF"/>
    <w:rsid w:val="00BE0CA4"/>
    <w:rsid w:val="00BF7239"/>
    <w:rsid w:val="00C03264"/>
    <w:rsid w:val="00C05311"/>
    <w:rsid w:val="00C0761E"/>
    <w:rsid w:val="00C135B6"/>
    <w:rsid w:val="00C24F26"/>
    <w:rsid w:val="00C257D3"/>
    <w:rsid w:val="00C45193"/>
    <w:rsid w:val="00C500E5"/>
    <w:rsid w:val="00C67A4C"/>
    <w:rsid w:val="00C7488C"/>
    <w:rsid w:val="00C76916"/>
    <w:rsid w:val="00C77F81"/>
    <w:rsid w:val="00C86836"/>
    <w:rsid w:val="00C9156B"/>
    <w:rsid w:val="00CA0D29"/>
    <w:rsid w:val="00CA1720"/>
    <w:rsid w:val="00CB17E2"/>
    <w:rsid w:val="00CB4D4A"/>
    <w:rsid w:val="00CC36F3"/>
    <w:rsid w:val="00CC71AF"/>
    <w:rsid w:val="00CD4CD0"/>
    <w:rsid w:val="00CD742A"/>
    <w:rsid w:val="00CF752B"/>
    <w:rsid w:val="00D0042B"/>
    <w:rsid w:val="00D005F7"/>
    <w:rsid w:val="00D116A3"/>
    <w:rsid w:val="00D171A2"/>
    <w:rsid w:val="00D175FD"/>
    <w:rsid w:val="00D27649"/>
    <w:rsid w:val="00D31B2C"/>
    <w:rsid w:val="00D34387"/>
    <w:rsid w:val="00D36DEE"/>
    <w:rsid w:val="00D37A90"/>
    <w:rsid w:val="00D41A09"/>
    <w:rsid w:val="00D4570D"/>
    <w:rsid w:val="00D47670"/>
    <w:rsid w:val="00D567D3"/>
    <w:rsid w:val="00D65C09"/>
    <w:rsid w:val="00D717F1"/>
    <w:rsid w:val="00D737D0"/>
    <w:rsid w:val="00D81AD7"/>
    <w:rsid w:val="00D81E1D"/>
    <w:rsid w:val="00D864D0"/>
    <w:rsid w:val="00D87109"/>
    <w:rsid w:val="00D94DEB"/>
    <w:rsid w:val="00DB01B6"/>
    <w:rsid w:val="00DB051B"/>
    <w:rsid w:val="00DB1481"/>
    <w:rsid w:val="00DB5EB4"/>
    <w:rsid w:val="00DC0406"/>
    <w:rsid w:val="00DC3828"/>
    <w:rsid w:val="00DE45CF"/>
    <w:rsid w:val="00DF238A"/>
    <w:rsid w:val="00E066C1"/>
    <w:rsid w:val="00E0688D"/>
    <w:rsid w:val="00E173B3"/>
    <w:rsid w:val="00E27ADB"/>
    <w:rsid w:val="00E33B74"/>
    <w:rsid w:val="00E431D2"/>
    <w:rsid w:val="00E43756"/>
    <w:rsid w:val="00E4390D"/>
    <w:rsid w:val="00E5434E"/>
    <w:rsid w:val="00E54EB7"/>
    <w:rsid w:val="00E676AC"/>
    <w:rsid w:val="00E838AE"/>
    <w:rsid w:val="00EA1755"/>
    <w:rsid w:val="00EA1FF7"/>
    <w:rsid w:val="00EA4410"/>
    <w:rsid w:val="00EC0DC2"/>
    <w:rsid w:val="00ED31F2"/>
    <w:rsid w:val="00EE2EF4"/>
    <w:rsid w:val="00EE50E9"/>
    <w:rsid w:val="00EE6858"/>
    <w:rsid w:val="00EF0889"/>
    <w:rsid w:val="00EF11F6"/>
    <w:rsid w:val="00EF277F"/>
    <w:rsid w:val="00F0064B"/>
    <w:rsid w:val="00F04E62"/>
    <w:rsid w:val="00F060ED"/>
    <w:rsid w:val="00F06217"/>
    <w:rsid w:val="00F16185"/>
    <w:rsid w:val="00F2083A"/>
    <w:rsid w:val="00F37E5A"/>
    <w:rsid w:val="00F40AA0"/>
    <w:rsid w:val="00F5132F"/>
    <w:rsid w:val="00F543D6"/>
    <w:rsid w:val="00F62459"/>
    <w:rsid w:val="00F65CB1"/>
    <w:rsid w:val="00F85BF1"/>
    <w:rsid w:val="00FA42D0"/>
    <w:rsid w:val="00FA477C"/>
    <w:rsid w:val="00FB4D90"/>
    <w:rsid w:val="00FB4E8F"/>
    <w:rsid w:val="00FC55C6"/>
    <w:rsid w:val="00FD2045"/>
    <w:rsid w:val="00FD4086"/>
    <w:rsid w:val="00FD5A45"/>
    <w:rsid w:val="00FE1B74"/>
    <w:rsid w:val="00FF2087"/>
    <w:rsid w:val="00FF2196"/>
    <w:rsid w:val="024994F1"/>
    <w:rsid w:val="03E56552"/>
    <w:rsid w:val="058135B3"/>
    <w:rsid w:val="0A54A6D6"/>
    <w:rsid w:val="0BF07737"/>
    <w:rsid w:val="0CB04B41"/>
    <w:rsid w:val="0D8C4798"/>
    <w:rsid w:val="0EF41E78"/>
    <w:rsid w:val="115162AC"/>
    <w:rsid w:val="134B8E28"/>
    <w:rsid w:val="14EF4C0F"/>
    <w:rsid w:val="163CCC9D"/>
    <w:rsid w:val="1996BBCF"/>
    <w:rsid w:val="1C655C5D"/>
    <w:rsid w:val="2005FD53"/>
    <w:rsid w:val="265C167A"/>
    <w:rsid w:val="27FC3C76"/>
    <w:rsid w:val="2823E83E"/>
    <w:rsid w:val="2993B73C"/>
    <w:rsid w:val="2A4DA28C"/>
    <w:rsid w:val="2B5B8900"/>
    <w:rsid w:val="2D735AD4"/>
    <w:rsid w:val="30AAFB96"/>
    <w:rsid w:val="30B228E8"/>
    <w:rsid w:val="32F32640"/>
    <w:rsid w:val="35026B46"/>
    <w:rsid w:val="36A6292D"/>
    <w:rsid w:val="3AA4CBCE"/>
    <w:rsid w:val="3AC99F5C"/>
    <w:rsid w:val="41ADA270"/>
    <w:rsid w:val="4226874D"/>
    <w:rsid w:val="44B4EBB1"/>
    <w:rsid w:val="44FBA908"/>
    <w:rsid w:val="48D41ECB"/>
    <w:rsid w:val="4B429C3C"/>
    <w:rsid w:val="54A5C1BA"/>
    <w:rsid w:val="55E53993"/>
    <w:rsid w:val="57AD0B57"/>
    <w:rsid w:val="580A9DC3"/>
    <w:rsid w:val="58B3DA21"/>
    <w:rsid w:val="59C4DD2B"/>
    <w:rsid w:val="59DBB1BD"/>
    <w:rsid w:val="5C5BA8EC"/>
    <w:rsid w:val="5C807C7A"/>
    <w:rsid w:val="5D56641B"/>
    <w:rsid w:val="5E1C4CDB"/>
    <w:rsid w:val="5FB81D3C"/>
    <w:rsid w:val="619857AC"/>
    <w:rsid w:val="6A0D98B5"/>
    <w:rsid w:val="6CB8E41C"/>
    <w:rsid w:val="6E54B47D"/>
    <w:rsid w:val="6FF08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CAFB"/>
  <w14:defaultImageDpi w14:val="32767"/>
  <w15:chartTrackingRefBased/>
  <w15:docId w15:val="{9CB0B548-A567-144A-9F59-7888543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0F230F"/>
    <w:pPr>
      <w:spacing w:before="100"/>
    </w:pPr>
    <w:rPr>
      <w:rFonts w:ascii="Arial" w:eastAsia="SimSun" w:hAnsi="Arial" w:cs="Angsana New"/>
      <w:lang w:val="de-AT" w:eastAsia="zh-CN" w:bidi="th-TH"/>
    </w:rPr>
  </w:style>
  <w:style w:type="paragraph" w:styleId="berschrift1">
    <w:name w:val="heading 1"/>
    <w:aliases w:val="HEADLINE 1"/>
    <w:basedOn w:val="Standard"/>
    <w:next w:val="Standard"/>
    <w:link w:val="berschrift1Zchn"/>
    <w:uiPriority w:val="9"/>
    <w:qFormat/>
    <w:rsid w:val="005332E0"/>
    <w:pPr>
      <w:keepNext/>
      <w:keepLines/>
      <w:numPr>
        <w:numId w:val="3"/>
      </w:numPr>
      <w:spacing w:after="60" w:line="320" w:lineRule="exact"/>
      <w:outlineLvl w:val="0"/>
    </w:pPr>
    <w:rPr>
      <w:rFonts w:eastAsiaTheme="majorEastAsia" w:cstheme="majorBidi"/>
      <w:color w:val="E52236" w:themeColor="accent1"/>
      <w:sz w:val="28"/>
      <w:szCs w:val="32"/>
    </w:rPr>
  </w:style>
  <w:style w:type="paragraph" w:styleId="berschrift2">
    <w:name w:val="heading 2"/>
    <w:aliases w:val="HEADLINE 2"/>
    <w:basedOn w:val="berschrift1"/>
    <w:next w:val="Standard"/>
    <w:link w:val="berschrift2Zchn"/>
    <w:uiPriority w:val="9"/>
    <w:unhideWhenUsed/>
    <w:qFormat/>
    <w:rsid w:val="005332E0"/>
    <w:pPr>
      <w:numPr>
        <w:ilvl w:val="1"/>
      </w:numPr>
      <w:spacing w:line="280" w:lineRule="exact"/>
      <w:outlineLvl w:val="1"/>
    </w:pPr>
    <w:rPr>
      <w:caps/>
      <w:sz w:val="21"/>
      <w:szCs w:val="26"/>
    </w:rPr>
  </w:style>
  <w:style w:type="paragraph" w:styleId="berschrift3">
    <w:name w:val="heading 3"/>
    <w:aliases w:val="HEADLINE 3"/>
    <w:basedOn w:val="berschrift2"/>
    <w:next w:val="Standard"/>
    <w:link w:val="berschrift3Zchn"/>
    <w:uiPriority w:val="9"/>
    <w:unhideWhenUsed/>
    <w:qFormat/>
    <w:rsid w:val="005332E0"/>
    <w:pPr>
      <w:numPr>
        <w:ilvl w:val="2"/>
      </w:numPr>
      <w:outlineLvl w:val="2"/>
    </w:pPr>
    <w:rPr>
      <w:bCs/>
      <w:caps w:val="0"/>
      <w:color w:val="000000" w:themeColor="text1"/>
    </w:rPr>
  </w:style>
  <w:style w:type="paragraph" w:styleId="berschrift4">
    <w:name w:val="heading 4"/>
    <w:basedOn w:val="Standard"/>
    <w:next w:val="Standard"/>
    <w:link w:val="berschrift4Zchn"/>
    <w:uiPriority w:val="9"/>
    <w:semiHidden/>
    <w:unhideWhenUsed/>
    <w:rsid w:val="005332E0"/>
    <w:pPr>
      <w:keepNext/>
      <w:keepLines/>
      <w:numPr>
        <w:ilvl w:val="3"/>
        <w:numId w:val="3"/>
      </w:numPr>
      <w:spacing w:before="40"/>
      <w:outlineLvl w:val="3"/>
    </w:pPr>
    <w:rPr>
      <w:rFonts w:eastAsiaTheme="majorEastAsia" w:cstheme="majorBidi"/>
      <w:color w:val="E52236" w:themeColor="accent1"/>
    </w:rPr>
  </w:style>
  <w:style w:type="paragraph" w:styleId="berschrift5">
    <w:name w:val="heading 5"/>
    <w:basedOn w:val="Standard"/>
    <w:next w:val="Standard"/>
    <w:link w:val="berschrift5Zchn"/>
    <w:uiPriority w:val="9"/>
    <w:semiHidden/>
    <w:unhideWhenUsed/>
    <w:qFormat/>
    <w:rsid w:val="005332E0"/>
    <w:pPr>
      <w:keepNext/>
      <w:keepLines/>
      <w:numPr>
        <w:ilvl w:val="4"/>
        <w:numId w:val="3"/>
      </w:numPr>
      <w:spacing w:before="40"/>
      <w:outlineLvl w:val="4"/>
    </w:pPr>
    <w:rPr>
      <w:rFonts w:asciiTheme="majorHAnsi" w:eastAsiaTheme="majorEastAsia" w:hAnsiTheme="majorHAnsi" w:cstheme="majorBidi"/>
      <w:color w:val="AF1424" w:themeColor="accent1" w:themeShade="BF"/>
    </w:rPr>
  </w:style>
  <w:style w:type="paragraph" w:styleId="berschrift6">
    <w:name w:val="heading 6"/>
    <w:basedOn w:val="Standard"/>
    <w:next w:val="Standard"/>
    <w:link w:val="berschrift6Zchn"/>
    <w:uiPriority w:val="9"/>
    <w:semiHidden/>
    <w:unhideWhenUsed/>
    <w:qFormat/>
    <w:rsid w:val="005332E0"/>
    <w:pPr>
      <w:keepNext/>
      <w:keepLines/>
      <w:numPr>
        <w:ilvl w:val="5"/>
        <w:numId w:val="3"/>
      </w:numPr>
      <w:spacing w:before="40"/>
      <w:outlineLvl w:val="5"/>
    </w:pPr>
    <w:rPr>
      <w:rFonts w:asciiTheme="majorHAnsi" w:eastAsiaTheme="majorEastAsia" w:hAnsiTheme="majorHAnsi" w:cstheme="majorBidi"/>
      <w:color w:val="740D18" w:themeColor="accent1" w:themeShade="7F"/>
    </w:rPr>
  </w:style>
  <w:style w:type="paragraph" w:styleId="berschrift7">
    <w:name w:val="heading 7"/>
    <w:basedOn w:val="Standard"/>
    <w:next w:val="Standard"/>
    <w:link w:val="berschrift7Zchn"/>
    <w:uiPriority w:val="9"/>
    <w:semiHidden/>
    <w:unhideWhenUsed/>
    <w:qFormat/>
    <w:rsid w:val="005332E0"/>
    <w:pPr>
      <w:keepNext/>
      <w:keepLines/>
      <w:numPr>
        <w:ilvl w:val="6"/>
        <w:numId w:val="3"/>
      </w:numPr>
      <w:spacing w:before="40"/>
      <w:outlineLvl w:val="6"/>
    </w:pPr>
    <w:rPr>
      <w:rFonts w:asciiTheme="majorHAnsi" w:eastAsiaTheme="majorEastAsia" w:hAnsiTheme="majorHAnsi" w:cstheme="majorBidi"/>
      <w:i/>
      <w:iCs/>
      <w:color w:val="740D18" w:themeColor="accent1" w:themeShade="7F"/>
    </w:rPr>
  </w:style>
  <w:style w:type="paragraph" w:styleId="berschrift8">
    <w:name w:val="heading 8"/>
    <w:basedOn w:val="Standard"/>
    <w:next w:val="Standard"/>
    <w:link w:val="berschrift8Zchn"/>
    <w:uiPriority w:val="9"/>
    <w:semiHidden/>
    <w:unhideWhenUsed/>
    <w:qFormat/>
    <w:rsid w:val="005332E0"/>
    <w:pPr>
      <w:keepNext/>
      <w:keepLines/>
      <w:numPr>
        <w:ilvl w:val="7"/>
        <w:numId w:val="3"/>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332E0"/>
    <w:pPr>
      <w:keepNext/>
      <w:keepLines/>
      <w:numPr>
        <w:ilvl w:val="8"/>
        <w:numId w:val="3"/>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Quellenangabe">
    <w:name w:val="Tabelle Quellenangabe"/>
    <w:basedOn w:val="Standard"/>
    <w:qFormat/>
    <w:rsid w:val="002200A9"/>
    <w:pPr>
      <w:spacing w:before="160" w:after="300" w:line="200" w:lineRule="exact"/>
    </w:pPr>
    <w:rPr>
      <w:iCs/>
      <w:sz w:val="16"/>
      <w:szCs w:val="18"/>
    </w:rPr>
  </w:style>
  <w:style w:type="character" w:customStyle="1" w:styleId="berschrift1Zchn">
    <w:name w:val="Überschrift 1 Zchn"/>
    <w:aliases w:val="HEADLINE 1 Zchn"/>
    <w:basedOn w:val="Absatz-Standardschriftart"/>
    <w:link w:val="berschrift1"/>
    <w:uiPriority w:val="9"/>
    <w:rsid w:val="00817455"/>
    <w:rPr>
      <w:rFonts w:ascii="Arial" w:eastAsiaTheme="majorEastAsia" w:hAnsi="Arial" w:cstheme="majorBidi"/>
      <w:color w:val="E52236" w:themeColor="accent1"/>
      <w:sz w:val="28"/>
      <w:szCs w:val="32"/>
      <w:lang w:val="de-AT" w:eastAsia="zh-CN" w:bidi="th-TH"/>
    </w:rPr>
  </w:style>
  <w:style w:type="paragraph" w:styleId="Kopfzeile">
    <w:name w:val="header"/>
    <w:basedOn w:val="Standard"/>
    <w:link w:val="KopfzeileZchn"/>
    <w:uiPriority w:val="99"/>
    <w:unhideWhenUsed/>
    <w:rsid w:val="000D3840"/>
    <w:pPr>
      <w:tabs>
        <w:tab w:val="center" w:pos="4536"/>
        <w:tab w:val="right" w:pos="9072"/>
      </w:tabs>
    </w:pPr>
    <w:rPr>
      <w:caps/>
      <w:spacing w:val="6"/>
      <w:sz w:val="16"/>
    </w:rPr>
  </w:style>
  <w:style w:type="character" w:customStyle="1" w:styleId="KopfzeileZchn">
    <w:name w:val="Kopfzeile Zchn"/>
    <w:basedOn w:val="Absatz-Standardschriftart"/>
    <w:link w:val="Kopfzeile"/>
    <w:uiPriority w:val="99"/>
    <w:rsid w:val="000D3840"/>
    <w:rPr>
      <w:rFonts w:ascii="Graphik LCG Light" w:hAnsi="Graphik LCG Light"/>
      <w:caps/>
      <w:color w:val="000000" w:themeColor="text1"/>
      <w:spacing w:val="6"/>
      <w:sz w:val="16"/>
    </w:rPr>
  </w:style>
  <w:style w:type="paragraph" w:styleId="Fuzeile">
    <w:name w:val="footer"/>
    <w:basedOn w:val="Standard"/>
    <w:link w:val="FuzeileZchn"/>
    <w:uiPriority w:val="99"/>
    <w:unhideWhenUsed/>
    <w:rsid w:val="00486F0B"/>
    <w:pPr>
      <w:widowControl w:val="0"/>
      <w:tabs>
        <w:tab w:val="center" w:pos="4536"/>
        <w:tab w:val="left" w:pos="6180"/>
        <w:tab w:val="right" w:pos="8611"/>
        <w:tab w:val="right" w:pos="9072"/>
      </w:tabs>
      <w:jc w:val="right"/>
    </w:pPr>
    <w:rPr>
      <w:color w:val="E52236" w:themeColor="accent1"/>
    </w:rPr>
  </w:style>
  <w:style w:type="character" w:customStyle="1" w:styleId="FuzeileZchn">
    <w:name w:val="Fußzeile Zchn"/>
    <w:basedOn w:val="Absatz-Standardschriftart"/>
    <w:link w:val="Fuzeile"/>
    <w:uiPriority w:val="99"/>
    <w:rsid w:val="00486F0B"/>
    <w:rPr>
      <w:rFonts w:ascii="Graphik LCG Light" w:hAnsi="Graphik LCG Light"/>
      <w:color w:val="E52236" w:themeColor="accent1"/>
      <w:spacing w:val="4"/>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qFormat/>
    <w:rsid w:val="005538A8"/>
    <w:pPr>
      <w:ind w:left="720"/>
      <w:contextualSpacing/>
    </w:pPr>
  </w:style>
  <w:style w:type="paragraph" w:customStyle="1" w:styleId="Subheadline">
    <w:name w:val="Subheadline"/>
    <w:basedOn w:val="Headline"/>
    <w:qFormat/>
    <w:rsid w:val="00817455"/>
    <w:pPr>
      <w:spacing w:line="320" w:lineRule="exact"/>
    </w:pPr>
    <w:rPr>
      <w:caps/>
      <w:sz w:val="28"/>
    </w:rPr>
  </w:style>
  <w:style w:type="numbering" w:styleId="111111">
    <w:name w:val="Outline List 2"/>
    <w:basedOn w:val="KeineListe"/>
    <w:uiPriority w:val="99"/>
    <w:semiHidden/>
    <w:unhideWhenUsed/>
    <w:rsid w:val="00CC71AF"/>
    <w:pPr>
      <w:numPr>
        <w:numId w:val="2"/>
      </w:numPr>
    </w:pPr>
  </w:style>
  <w:style w:type="paragraph" w:styleId="Funotentext">
    <w:name w:val="footnote text"/>
    <w:basedOn w:val="Standard"/>
    <w:link w:val="FunotentextZchn"/>
    <w:uiPriority w:val="99"/>
    <w:unhideWhenUsed/>
    <w:rsid w:val="0054028E"/>
    <w:pPr>
      <w:spacing w:after="60" w:line="160" w:lineRule="exact"/>
    </w:pPr>
    <w:rPr>
      <w:rFonts w:ascii="Graphik LCG Regular" w:hAnsi="Graphik LCG Regular"/>
      <w:sz w:val="13"/>
    </w:rPr>
  </w:style>
  <w:style w:type="character" w:customStyle="1" w:styleId="FunotentextZchn">
    <w:name w:val="Fußnotentext Zchn"/>
    <w:basedOn w:val="Absatz-Standardschriftart"/>
    <w:link w:val="Funotentext"/>
    <w:uiPriority w:val="99"/>
    <w:rsid w:val="0054028E"/>
    <w:rPr>
      <w:rFonts w:ascii="Graphik LCG Regular" w:hAnsi="Graphik LCG Regular"/>
      <w:color w:val="000000" w:themeColor="text1"/>
      <w:spacing w:val="4"/>
      <w:sz w:val="13"/>
    </w:rPr>
  </w:style>
  <w:style w:type="character" w:styleId="Funotenzeichen">
    <w:name w:val="footnote reference"/>
    <w:basedOn w:val="Absatz-Standardschriftart"/>
    <w:uiPriority w:val="99"/>
    <w:unhideWhenUsed/>
    <w:rsid w:val="00486F0B"/>
    <w:rPr>
      <w:rFonts w:ascii="Graphik LCG Light" w:hAnsi="Graphik LCG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32E0"/>
    <w:rPr>
      <w:rFonts w:ascii="Arial" w:eastAsiaTheme="majorEastAsia" w:hAnsi="Arial" w:cstheme="majorBidi"/>
      <w:caps/>
      <w:color w:val="E52236" w:themeColor="accent1"/>
      <w:sz w:val="21"/>
      <w:szCs w:val="26"/>
      <w:lang w:val="de-AT" w:eastAsia="zh-CN" w:bidi="th-TH"/>
    </w:rPr>
  </w:style>
  <w:style w:type="character" w:customStyle="1" w:styleId="berschrift3Zchn">
    <w:name w:val="Überschrift 3 Zchn"/>
    <w:aliases w:val="HEADLINE 3 Zchn"/>
    <w:basedOn w:val="Absatz-Standardschriftart"/>
    <w:link w:val="berschrift3"/>
    <w:uiPriority w:val="9"/>
    <w:rsid w:val="005332E0"/>
    <w:rPr>
      <w:rFonts w:ascii="Arial" w:eastAsiaTheme="majorEastAsia" w:hAnsi="Arial" w:cstheme="majorBidi"/>
      <w:bCs/>
      <w:color w:val="000000" w:themeColor="text1"/>
      <w:sz w:val="21"/>
      <w:szCs w:val="26"/>
      <w:lang w:val="de-AT" w:eastAsia="zh-CN" w:bidi="th-TH"/>
    </w:rPr>
  </w:style>
  <w:style w:type="paragraph" w:styleId="Inhaltsverzeichnisberschrift">
    <w:name w:val="TOC Heading"/>
    <w:basedOn w:val="Headline"/>
    <w:next w:val="Standard"/>
    <w:uiPriority w:val="39"/>
    <w:unhideWhenUsed/>
    <w:rsid w:val="00FC55C6"/>
    <w:pPr>
      <w:spacing w:before="480" w:line="276" w:lineRule="auto"/>
      <w:jc w:val="left"/>
    </w:pPr>
    <w:rPr>
      <w:szCs w:val="28"/>
      <w:lang w:val="en-GB" w:eastAsia="de-DE"/>
    </w:rPr>
  </w:style>
  <w:style w:type="paragraph" w:styleId="Verzeichnis1">
    <w:name w:val="toc 1"/>
    <w:basedOn w:val="Standard"/>
    <w:uiPriority w:val="39"/>
    <w:unhideWhenUsed/>
    <w:rsid w:val="00EE2EF4"/>
    <w:pPr>
      <w:tabs>
        <w:tab w:val="left" w:pos="567"/>
      </w:tabs>
      <w:spacing w:before="120" w:line="320" w:lineRule="exact"/>
    </w:pPr>
    <w:rPr>
      <w:rFonts w:cstheme="minorHAnsi"/>
      <w:bCs/>
      <w:color w:val="E52236" w:themeColor="accent1"/>
    </w:rPr>
  </w:style>
  <w:style w:type="paragraph" w:styleId="Verzeichnis2">
    <w:name w:val="toc 2"/>
    <w:basedOn w:val="Standard"/>
    <w:next w:val="Standard"/>
    <w:uiPriority w:val="39"/>
    <w:unhideWhenUsed/>
    <w:rsid w:val="00EE2EF4"/>
    <w:pPr>
      <w:tabs>
        <w:tab w:val="left" w:pos="567"/>
      </w:tabs>
    </w:pPr>
    <w:rPr>
      <w:rFonts w:cstheme="minorHAnsi"/>
      <w:bCs/>
      <w:szCs w:val="22"/>
    </w:rPr>
  </w:style>
  <w:style w:type="paragraph" w:styleId="Verzeichnis3">
    <w:name w:val="toc 3"/>
    <w:basedOn w:val="Standard"/>
    <w:uiPriority w:val="39"/>
    <w:unhideWhenUsed/>
    <w:rsid w:val="00EE2EF4"/>
    <w:pPr>
      <w:tabs>
        <w:tab w:val="left" w:pos="567"/>
      </w:tabs>
      <w:ind w:left="567"/>
    </w:pPr>
    <w:rPr>
      <w:rFonts w:cstheme="minorHAnsi"/>
      <w:szCs w:val="22"/>
    </w:rPr>
  </w:style>
  <w:style w:type="character" w:styleId="Hyperlink">
    <w:name w:val="Hyperlink"/>
    <w:basedOn w:val="Absatz-Standardschriftart"/>
    <w:uiPriority w:val="99"/>
    <w:unhideWhenUsed/>
    <w:qFormat/>
    <w:rsid w:val="00817455"/>
    <w:rPr>
      <w:rFonts w:ascii="Graphik LCG Light" w:hAnsi="Graphik LCG Light"/>
      <w:b w:val="0"/>
      <w:bCs w:val="0"/>
      <w:i w:val="0"/>
      <w:iCs w:val="0"/>
      <w:color w:val="E52236" w:themeColor="accent1"/>
      <w:sz w:val="21"/>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cstheme="minorHAnsi"/>
      <w:sz w:val="20"/>
      <w:szCs w:val="20"/>
    </w:rPr>
  </w:style>
  <w:style w:type="paragraph" w:customStyle="1" w:styleId="Headline">
    <w:name w:val="Headline"/>
    <w:basedOn w:val="Standard"/>
    <w:qFormat/>
    <w:rsid w:val="00817455"/>
    <w:pPr>
      <w:spacing w:line="680" w:lineRule="exact"/>
      <w:contextualSpacing/>
      <w:jc w:val="center"/>
    </w:pPr>
    <w:rPr>
      <w:color w:val="E52236" w:themeColor="accent1"/>
      <w:sz w:val="64"/>
    </w:rPr>
  </w:style>
  <w:style w:type="character" w:customStyle="1" w:styleId="berschrift4Zchn">
    <w:name w:val="Überschrift 4 Zchn"/>
    <w:basedOn w:val="Absatz-Standardschriftart"/>
    <w:link w:val="berschrift4"/>
    <w:uiPriority w:val="9"/>
    <w:semiHidden/>
    <w:rsid w:val="00486F0B"/>
    <w:rPr>
      <w:rFonts w:ascii="Arial" w:eastAsiaTheme="majorEastAsia" w:hAnsi="Arial" w:cstheme="majorBidi"/>
      <w:color w:val="E52236" w:themeColor="accent1"/>
      <w:lang w:val="de-AT" w:eastAsia="zh-CN" w:bidi="th-TH"/>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AF1424" w:themeColor="accent1" w:themeShade="BF"/>
      <w:lang w:val="de-AT" w:eastAsia="zh-CN" w:bidi="th-TH"/>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740D18" w:themeColor="accent1" w:themeShade="7F"/>
      <w:lang w:val="de-AT" w:eastAsia="zh-CN" w:bidi="th-TH"/>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740D18" w:themeColor="accent1" w:themeShade="7F"/>
      <w:lang w:val="de-AT" w:eastAsia="zh-CN" w:bidi="th-TH"/>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zCs w:val="21"/>
      <w:lang w:val="de-AT" w:eastAsia="zh-CN" w:bidi="th-TH"/>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zCs w:val="21"/>
      <w:lang w:val="de-AT" w:eastAsia="zh-CN" w:bidi="th-TH"/>
    </w:rPr>
  </w:style>
  <w:style w:type="paragraph" w:customStyle="1" w:styleId="TabelleTitel">
    <w:name w:val="Tabelle Titel"/>
    <w:basedOn w:val="Standard"/>
    <w:qFormat/>
    <w:rsid w:val="007856F3"/>
    <w:pPr>
      <w:spacing w:before="280" w:after="100"/>
    </w:pPr>
    <w:rPr>
      <w:caps/>
      <w:color w:val="E52236" w:themeColor="accent1"/>
    </w:rPr>
  </w:style>
  <w:style w:type="paragraph" w:customStyle="1" w:styleId="TabelleTextRot">
    <w:name w:val="Tabelle Text Rot"/>
    <w:basedOn w:val="TabelleTextSchwarz"/>
    <w:qFormat/>
    <w:rsid w:val="00BA5F00"/>
    <w:pPr>
      <w:spacing w:line="240" w:lineRule="auto"/>
    </w:pPr>
    <w:rPr>
      <w:color w:val="E52236" w:themeColor="accent1"/>
    </w:rPr>
  </w:style>
  <w:style w:type="paragraph" w:customStyle="1" w:styleId="TabelleTextSchwarz">
    <w:name w:val="Tabelle Text Schwarz"/>
    <w:basedOn w:val="Standard"/>
    <w:qFormat/>
    <w:rsid w:val="00BA5F00"/>
    <w:pPr>
      <w:spacing w:line="240" w:lineRule="exact"/>
      <w:jc w:val="right"/>
    </w:pPr>
    <w:rPr>
      <w:rFonts w:ascii="Graphik LCG Regular" w:hAnsi="Graphik LCG Regular"/>
      <w:sz w:val="18"/>
    </w:rPr>
  </w:style>
  <w:style w:type="paragraph" w:customStyle="1" w:styleId="HeadlineDeckblatt">
    <w:name w:val="Headline Deckblatt"/>
    <w:basedOn w:val="Headline"/>
    <w:qFormat/>
    <w:rsid w:val="00817455"/>
    <w:pPr>
      <w:spacing w:line="1520" w:lineRule="exact"/>
    </w:pPr>
    <w:rPr>
      <w:sz w:val="140"/>
    </w:rPr>
  </w:style>
  <w:style w:type="character" w:styleId="Hervorhebung">
    <w:name w:val="Emphasis"/>
    <w:basedOn w:val="Absatz-Standardschriftart"/>
    <w:uiPriority w:val="20"/>
    <w:qFormat/>
    <w:rsid w:val="006B6449"/>
    <w:rPr>
      <w:rFonts w:ascii="Graphik LCG Light" w:hAnsi="Graphik LCG Light"/>
      <w:b w:val="0"/>
      <w:i w:val="0"/>
      <w:iCs/>
      <w:color w:val="E52236" w:themeColor="accent1"/>
      <w:sz w:val="21"/>
      <w:u w:val="none"/>
    </w:rPr>
  </w:style>
  <w:style w:type="paragraph" w:customStyle="1" w:styleId="Aufzhlung">
    <w:name w:val="Aufzählung"/>
    <w:basedOn w:val="Standard"/>
    <w:qFormat/>
    <w:rsid w:val="003865DB"/>
    <w:pPr>
      <w:spacing w:after="120"/>
    </w:pPr>
    <w:rPr>
      <w:lang w:val="en-US"/>
    </w:rPr>
  </w:style>
  <w:style w:type="paragraph" w:customStyle="1" w:styleId="Nummerierung">
    <w:name w:val="Nummerierung"/>
    <w:basedOn w:val="Aufzhlung"/>
    <w:qFormat/>
    <w:rsid w:val="003865DB"/>
    <w:pPr>
      <w:numPr>
        <w:numId w:val="4"/>
      </w:numPr>
    </w:pPr>
  </w:style>
  <w:style w:type="paragraph" w:customStyle="1" w:styleId="Bildunterschrift">
    <w:name w:val="Bildunterschrift"/>
    <w:basedOn w:val="TabelleQuellenangabe"/>
    <w:qFormat/>
    <w:rsid w:val="002200A9"/>
    <w:rPr>
      <w:color w:val="E52236" w:themeColor="accent1"/>
      <w:lang w:val="en-US"/>
    </w:rPr>
  </w:style>
  <w:style w:type="character" w:styleId="Platzhaltertext">
    <w:name w:val="Placeholder Text"/>
    <w:basedOn w:val="Absatz-Standardschriftart"/>
    <w:uiPriority w:val="99"/>
    <w:semiHidden/>
    <w:rsid w:val="00EA1FF7"/>
    <w:rPr>
      <w:color w:val="808080"/>
    </w:rPr>
  </w:style>
  <w:style w:type="paragraph" w:styleId="Textkrper">
    <w:name w:val="Body Text"/>
    <w:basedOn w:val="Standard"/>
    <w:link w:val="TextkrperZchn"/>
    <w:semiHidden/>
    <w:rsid w:val="000F230F"/>
    <w:pPr>
      <w:spacing w:after="100"/>
      <w:ind w:left="357"/>
    </w:pPr>
    <w:rPr>
      <w:iCs/>
    </w:rPr>
  </w:style>
  <w:style w:type="character" w:customStyle="1" w:styleId="TextkrperZchn">
    <w:name w:val="Textkörper Zchn"/>
    <w:basedOn w:val="Absatz-Standardschriftart"/>
    <w:link w:val="Textkrper"/>
    <w:semiHidden/>
    <w:rsid w:val="000F230F"/>
    <w:rPr>
      <w:rFonts w:ascii="Arial" w:eastAsia="SimSun" w:hAnsi="Arial" w:cs="Angsana New"/>
      <w:iCs/>
      <w:lang w:val="de-AT" w:eastAsia="zh-CN" w:bidi="th-TH"/>
    </w:rPr>
  </w:style>
  <w:style w:type="character" w:customStyle="1" w:styleId="object">
    <w:name w:val="object"/>
    <w:rsid w:val="000F230F"/>
  </w:style>
  <w:style w:type="paragraph" w:customStyle="1" w:styleId="AdressKopf">
    <w:name w:val="AdressKopf"/>
    <w:basedOn w:val="Standard"/>
    <w:qFormat/>
    <w:rsid w:val="000F230F"/>
    <w:pPr>
      <w:spacing w:before="20"/>
    </w:pPr>
  </w:style>
  <w:style w:type="character" w:styleId="Kommentarzeichen">
    <w:name w:val="annotation reference"/>
    <w:basedOn w:val="Absatz-Standardschriftart"/>
    <w:uiPriority w:val="99"/>
    <w:semiHidden/>
    <w:unhideWhenUsed/>
    <w:rsid w:val="004359ED"/>
    <w:rPr>
      <w:sz w:val="16"/>
      <w:szCs w:val="16"/>
    </w:rPr>
  </w:style>
  <w:style w:type="paragraph" w:styleId="Kommentartext">
    <w:name w:val="annotation text"/>
    <w:basedOn w:val="Standard"/>
    <w:link w:val="KommentartextZchn"/>
    <w:uiPriority w:val="99"/>
    <w:semiHidden/>
    <w:unhideWhenUsed/>
    <w:rsid w:val="004359ED"/>
    <w:rPr>
      <w:sz w:val="20"/>
      <w:szCs w:val="25"/>
    </w:rPr>
  </w:style>
  <w:style w:type="character" w:customStyle="1" w:styleId="KommentartextZchn">
    <w:name w:val="Kommentartext Zchn"/>
    <w:basedOn w:val="Absatz-Standardschriftart"/>
    <w:link w:val="Kommentartext"/>
    <w:uiPriority w:val="99"/>
    <w:semiHidden/>
    <w:rsid w:val="004359ED"/>
    <w:rPr>
      <w:rFonts w:ascii="Arial" w:eastAsia="SimSun" w:hAnsi="Arial" w:cs="Angsana New"/>
      <w:sz w:val="20"/>
      <w:szCs w:val="25"/>
      <w:lang w:val="de-AT" w:eastAsia="zh-CN" w:bidi="th-TH"/>
    </w:rPr>
  </w:style>
  <w:style w:type="paragraph" w:styleId="Kommentarthema">
    <w:name w:val="annotation subject"/>
    <w:basedOn w:val="Kommentartext"/>
    <w:next w:val="Kommentartext"/>
    <w:link w:val="KommentarthemaZchn"/>
    <w:uiPriority w:val="99"/>
    <w:semiHidden/>
    <w:unhideWhenUsed/>
    <w:rsid w:val="004359ED"/>
    <w:rPr>
      <w:b/>
      <w:bCs/>
    </w:rPr>
  </w:style>
  <w:style w:type="character" w:customStyle="1" w:styleId="KommentarthemaZchn">
    <w:name w:val="Kommentarthema Zchn"/>
    <w:basedOn w:val="KommentartextZchn"/>
    <w:link w:val="Kommentarthema"/>
    <w:uiPriority w:val="99"/>
    <w:semiHidden/>
    <w:rsid w:val="004359ED"/>
    <w:rPr>
      <w:rFonts w:ascii="Arial" w:eastAsia="SimSun" w:hAnsi="Arial" w:cs="Angsana New"/>
      <w:b/>
      <w:bCs/>
      <w:sz w:val="20"/>
      <w:szCs w:val="25"/>
      <w:lang w:val="de-AT" w:eastAsia="zh-CN" w:bidi="th-TH"/>
    </w:rPr>
  </w:style>
  <w:style w:type="character" w:styleId="NichtaufgelsteErwhnung">
    <w:name w:val="Unresolved Mention"/>
    <w:basedOn w:val="Absatz-Standardschriftart"/>
    <w:uiPriority w:val="99"/>
    <w:semiHidden/>
    <w:unhideWhenUsed/>
    <w:rsid w:val="004359ED"/>
    <w:rPr>
      <w:color w:val="808080"/>
      <w:shd w:val="clear" w:color="auto" w:fill="E6E6E6"/>
    </w:rPr>
  </w:style>
  <w:style w:type="character" w:styleId="BesuchterLink">
    <w:name w:val="FollowedHyperlink"/>
    <w:basedOn w:val="Absatz-Standardschriftart"/>
    <w:uiPriority w:val="99"/>
    <w:semiHidden/>
    <w:unhideWhenUsed/>
    <w:rsid w:val="00D47670"/>
    <w:rPr>
      <w:color w:val="D5D5D5" w:themeColor="followedHyperlink"/>
      <w:u w:val="single"/>
    </w:rPr>
  </w:style>
  <w:style w:type="paragraph" w:styleId="berarbeitung">
    <w:name w:val="Revision"/>
    <w:hidden/>
    <w:uiPriority w:val="99"/>
    <w:semiHidden/>
    <w:rsid w:val="006E087B"/>
    <w:rPr>
      <w:rFonts w:ascii="Arial" w:eastAsia="SimSun" w:hAnsi="Arial" w:cs="Angsana New"/>
      <w:szCs w:val="30"/>
      <w:lang w:val="de-AT" w:eastAsia="zh-CN" w:bidi="th-TH"/>
    </w:rPr>
  </w:style>
  <w:style w:type="paragraph" w:customStyle="1" w:styleId="paragraph">
    <w:name w:val="paragraph"/>
    <w:basedOn w:val="Standard"/>
    <w:rsid w:val="00FD5A45"/>
    <w:pPr>
      <w:spacing w:beforeAutospacing="1" w:after="100" w:afterAutospacing="1"/>
    </w:pPr>
    <w:rPr>
      <w:rFonts w:ascii="Times New Roman" w:eastAsia="Times New Roman" w:hAnsi="Times New Roman" w:cs="Times New Roman"/>
      <w:lang w:eastAsia="de-DE" w:bidi="ar-SA"/>
    </w:rPr>
  </w:style>
  <w:style w:type="character" w:customStyle="1" w:styleId="normaltextrun">
    <w:name w:val="normaltextrun"/>
    <w:basedOn w:val="Absatz-Standardschriftart"/>
    <w:rsid w:val="00FD5A45"/>
  </w:style>
  <w:style w:type="character" w:customStyle="1" w:styleId="eop">
    <w:name w:val="eop"/>
    <w:basedOn w:val="Absatz-Standardschriftart"/>
    <w:rsid w:val="00FD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6002">
      <w:bodyDiv w:val="1"/>
      <w:marLeft w:val="0"/>
      <w:marRight w:val="0"/>
      <w:marTop w:val="0"/>
      <w:marBottom w:val="0"/>
      <w:divBdr>
        <w:top w:val="none" w:sz="0" w:space="0" w:color="auto"/>
        <w:left w:val="none" w:sz="0" w:space="0" w:color="auto"/>
        <w:bottom w:val="none" w:sz="0" w:space="0" w:color="auto"/>
        <w:right w:val="none" w:sz="0" w:space="0" w:color="auto"/>
      </w:divBdr>
      <w:divsChild>
        <w:div w:id="175383804">
          <w:marLeft w:val="0"/>
          <w:marRight w:val="0"/>
          <w:marTop w:val="0"/>
          <w:marBottom w:val="0"/>
          <w:divBdr>
            <w:top w:val="none" w:sz="0" w:space="0" w:color="auto"/>
            <w:left w:val="none" w:sz="0" w:space="0" w:color="auto"/>
            <w:bottom w:val="none" w:sz="0" w:space="0" w:color="auto"/>
            <w:right w:val="none" w:sz="0" w:space="0" w:color="auto"/>
          </w:divBdr>
        </w:div>
        <w:div w:id="454371566">
          <w:marLeft w:val="0"/>
          <w:marRight w:val="0"/>
          <w:marTop w:val="0"/>
          <w:marBottom w:val="0"/>
          <w:divBdr>
            <w:top w:val="none" w:sz="0" w:space="0" w:color="auto"/>
            <w:left w:val="none" w:sz="0" w:space="0" w:color="auto"/>
            <w:bottom w:val="none" w:sz="0" w:space="0" w:color="auto"/>
            <w:right w:val="none" w:sz="0" w:space="0" w:color="auto"/>
          </w:divBdr>
        </w:div>
        <w:div w:id="1033266364">
          <w:marLeft w:val="0"/>
          <w:marRight w:val="0"/>
          <w:marTop w:val="0"/>
          <w:marBottom w:val="0"/>
          <w:divBdr>
            <w:top w:val="none" w:sz="0" w:space="0" w:color="auto"/>
            <w:left w:val="none" w:sz="0" w:space="0" w:color="auto"/>
            <w:bottom w:val="none" w:sz="0" w:space="0" w:color="auto"/>
            <w:right w:val="none" w:sz="0" w:space="0" w:color="auto"/>
          </w:divBdr>
        </w:div>
        <w:div w:id="1469010226">
          <w:marLeft w:val="0"/>
          <w:marRight w:val="0"/>
          <w:marTop w:val="0"/>
          <w:marBottom w:val="0"/>
          <w:divBdr>
            <w:top w:val="none" w:sz="0" w:space="0" w:color="auto"/>
            <w:left w:val="none" w:sz="0" w:space="0" w:color="auto"/>
            <w:bottom w:val="none" w:sz="0" w:space="0" w:color="auto"/>
            <w:right w:val="none" w:sz="0" w:space="0" w:color="auto"/>
          </w:divBdr>
        </w:div>
      </w:divsChild>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WT_Farbpalette 1">
      <a:dk1>
        <a:srgbClr val="000000"/>
      </a:dk1>
      <a:lt1>
        <a:srgbClr val="FFFFFF"/>
      </a:lt1>
      <a:dk2>
        <a:srgbClr val="000000"/>
      </a:dk2>
      <a:lt2>
        <a:srgbClr val="F8F8F8"/>
      </a:lt2>
      <a:accent1>
        <a:srgbClr val="E52236"/>
      </a:accent1>
      <a:accent2>
        <a:srgbClr val="424242"/>
      </a:accent2>
      <a:accent3>
        <a:srgbClr val="797979"/>
      </a:accent3>
      <a:accent4>
        <a:srgbClr val="A9A9A9"/>
      </a:accent4>
      <a:accent5>
        <a:srgbClr val="D5D5D5"/>
      </a:accent5>
      <a:accent6>
        <a:srgbClr val="EAEAEA"/>
      </a:accent6>
      <a:hlink>
        <a:srgbClr val="797979"/>
      </a:hlink>
      <a:folHlink>
        <a:srgbClr val="D5D5D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123c05-672a-4bba-99b6-3e12d9ceb129" xsi:nil="true"/>
    <lcf76f155ced4ddcb4097134ff3c332f xmlns="24ddce34-e934-4855-8a0c-a9363e0d23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D9228CE0E7F247A3C0B5ED8BD90118" ma:contentTypeVersion="18" ma:contentTypeDescription="Ein neues Dokument erstellen." ma:contentTypeScope="" ma:versionID="4e1d5253abd09f8b1c936be6b85c513f">
  <xsd:schema xmlns:xsd="http://www.w3.org/2001/XMLSchema" xmlns:xs="http://www.w3.org/2001/XMLSchema" xmlns:p="http://schemas.microsoft.com/office/2006/metadata/properties" xmlns:ns2="24ddce34-e934-4855-8a0c-a9363e0d23af" xmlns:ns3="f0123c05-672a-4bba-99b6-3e12d9ceb129" targetNamespace="http://schemas.microsoft.com/office/2006/metadata/properties" ma:root="true" ma:fieldsID="62c535e22fab607116aeed1876ffa619" ns2:_="" ns3:_="">
    <xsd:import namespace="24ddce34-e934-4855-8a0c-a9363e0d23af"/>
    <xsd:import namespace="f0123c05-672a-4bba-99b6-3e12d9ceb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ce34-e934-4855-8a0c-a9363e0d2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5d0b798-0b86-4530-8a88-40e28645b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23c05-672a-4bba-99b6-3e12d9ceb12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9bc0a8f9-5dfd-4e67-9b2d-2d53696e57c6}" ma:internalName="TaxCatchAll" ma:showField="CatchAllData" ma:web="f0123c05-672a-4bba-99b6-3e12d9ceb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4FA181-EA51-4339-8611-535DBF4754D5}">
  <ds:schemaRefs>
    <ds:schemaRef ds:uri="http://schemas.microsoft.com/office/2006/metadata/properties"/>
    <ds:schemaRef ds:uri="http://schemas.microsoft.com/office/infopath/2007/PartnerControls"/>
    <ds:schemaRef ds:uri="f0123c05-672a-4bba-99b6-3e12d9ceb129"/>
    <ds:schemaRef ds:uri="24ddce34-e934-4855-8a0c-a9363e0d23af"/>
  </ds:schemaRefs>
</ds:datastoreItem>
</file>

<file path=customXml/itemProps2.xml><?xml version="1.0" encoding="utf-8"?>
<ds:datastoreItem xmlns:ds="http://schemas.openxmlformats.org/officeDocument/2006/customXml" ds:itemID="{09A9565E-A6D6-4A86-8AC0-541C9EC50D17}">
  <ds:schemaRefs>
    <ds:schemaRef ds:uri="http://schemas.microsoft.com/sharepoint/v3/contenttype/forms"/>
  </ds:schemaRefs>
</ds:datastoreItem>
</file>

<file path=customXml/itemProps3.xml><?xml version="1.0" encoding="utf-8"?>
<ds:datastoreItem xmlns:ds="http://schemas.openxmlformats.org/officeDocument/2006/customXml" ds:itemID="{4EC6313C-797A-452B-BA76-1358B545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ce34-e934-4855-8a0c-a9363e0d23af"/>
    <ds:schemaRef ds:uri="f0123c05-672a-4bba-99b6-3e12d9ceb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772D9-C804-403C-B2AE-16899C4B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11586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WienTourismus</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WienTourismus</dc:title>
  <dc:subject/>
  <dc:creator>Helga Gerbl</dc:creator>
  <cp:keywords/>
  <dc:description/>
  <cp:lastModifiedBy>Gerbl, Helga</cp:lastModifiedBy>
  <cp:revision>3</cp:revision>
  <cp:lastPrinted>2017-10-10T11:22:00Z</cp:lastPrinted>
  <dcterms:created xsi:type="dcterms:W3CDTF">2022-07-20T10:28:00Z</dcterms:created>
  <dcterms:modified xsi:type="dcterms:W3CDTF">2022-07-20T10:31:00Z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0x01010027D9228CE0E7F247A3C0B5ED8BD90118</vt:lpwstr>
  </property>
  <property fmtid="{D5CDD505-2E9C-101B-9397-08002B2CF9AE}" pid="3" name="MediaServiceImageTags">
    <vt:lpwstr/>
  </property>
</Properties>
</file>