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B660B" w14:textId="1B5B8BE8" w:rsidR="006D4DE7" w:rsidRPr="0002293D" w:rsidRDefault="00E95742">
      <w:pPr>
        <w:pStyle w:val="Headline"/>
        <w:rPr>
          <w:rFonts w:cs="Arial"/>
          <w:bCs/>
          <w:caps/>
          <w:sz w:val="21"/>
          <w:szCs w:val="21"/>
          <w:lang w:val="en-US"/>
        </w:rPr>
      </w:pPr>
      <w:r>
        <w:rPr>
          <w:rFonts w:ascii="Arial" w:hAnsi="Arial" w:cs="Arial"/>
          <w:lang w:val="en-US"/>
        </w:rPr>
        <w:t>International City Vienna</w:t>
      </w:r>
    </w:p>
    <w:p w14:paraId="1AE67689" w14:textId="77777777" w:rsidR="006D4DE7" w:rsidRPr="0002293D" w:rsidRDefault="006D4DE7">
      <w:pPr>
        <w:pStyle w:val="AdressKopf"/>
        <w:jc w:val="both"/>
        <w:rPr>
          <w:rFonts w:cs="Arial"/>
          <w:bCs/>
          <w:caps/>
          <w:color w:val="E52236"/>
          <w:spacing w:val="4"/>
          <w:sz w:val="21"/>
          <w:szCs w:val="21"/>
          <w:lang w:val="en-US"/>
        </w:rPr>
      </w:pPr>
    </w:p>
    <w:p w14:paraId="00E9EB49" w14:textId="2F07CAB0" w:rsidR="00855F05" w:rsidRPr="00855F05" w:rsidRDefault="00855F05" w:rsidP="00855F05">
      <w:pPr>
        <w:suppressAutoHyphens w:val="0"/>
        <w:spacing w:before="100" w:after="100" w:line="260" w:lineRule="exact"/>
        <w:ind w:firstLine="0"/>
        <w:rPr>
          <w:rStyle w:val="Hervorhebung"/>
          <w:rFonts w:ascii="Arial" w:hAnsi="Arial" w:cs="Arial"/>
          <w:iCs w:val="0"/>
          <w:lang w:val="en-US"/>
        </w:rPr>
      </w:pPr>
      <w:r w:rsidRPr="00855F05">
        <w:rPr>
          <w:rStyle w:val="Hervorhebung"/>
          <w:rFonts w:ascii="Arial" w:hAnsi="Arial"/>
          <w:lang w:val="en-US"/>
        </w:rPr>
        <w:t>Vienna is a city that is synonymous with a high quality of life.</w:t>
      </w:r>
      <w:r w:rsidRPr="00855F05">
        <w:rPr>
          <w:rStyle w:val="Hervorhebung"/>
          <w:rFonts w:ascii="Arial" w:hAnsi="Arial" w:cs="Arial"/>
          <w:iCs w:val="0"/>
          <w:lang w:val="en-US"/>
        </w:rPr>
        <w:t xml:space="preserve"> In 2024, the Economist Intelligence Unit</w:t>
      </w:r>
      <w:r w:rsidR="00C9723B">
        <w:rPr>
          <w:rStyle w:val="Funotenzeichen"/>
          <w:rFonts w:ascii="Arial" w:hAnsi="Arial" w:cs="Arial"/>
          <w:color w:val="E52236"/>
          <w:lang w:val="en-US"/>
        </w:rPr>
        <w:footnoteReference w:id="2"/>
      </w:r>
      <w:r w:rsidRPr="00855F05">
        <w:rPr>
          <w:rStyle w:val="Hervorhebung"/>
          <w:rFonts w:ascii="Arial" w:hAnsi="Arial" w:cs="Arial"/>
          <w:iCs w:val="0"/>
          <w:lang w:val="en-US"/>
        </w:rPr>
        <w:t xml:space="preserve"> named Vienna the most liveable city for the third time in a row. Vienna is one of the most liveable cities in the world for employees of international companies based abroad (expatriates): Vienna was ranked second after Zurich in the </w:t>
      </w:r>
      <w:r w:rsidRPr="00855F05">
        <w:rPr>
          <w:rStyle w:val="Hervorhebung"/>
          <w:rFonts w:ascii="Arial" w:hAnsi="Arial"/>
          <w:lang w:val="en-US"/>
        </w:rPr>
        <w:t>“Quality of Living Ranking 2024” published by the consulting firm Mercer</w:t>
      </w:r>
      <w:r w:rsidR="00830070">
        <w:rPr>
          <w:rStyle w:val="Funotenzeichen"/>
          <w:rFonts w:ascii="Arial" w:hAnsi="Arial"/>
          <w:iCs/>
          <w:color w:val="E52236"/>
          <w:lang w:val="en-US"/>
        </w:rPr>
        <w:footnoteReference w:id="3"/>
      </w:r>
      <w:r w:rsidRPr="00855F05">
        <w:rPr>
          <w:rStyle w:val="Hervorhebung"/>
          <w:rFonts w:ascii="Arial" w:hAnsi="Arial"/>
          <w:lang w:val="en-US"/>
        </w:rPr>
        <w:t>.</w:t>
      </w:r>
      <w:r w:rsidRPr="00855F05">
        <w:rPr>
          <w:rStyle w:val="Hervorhebung"/>
          <w:rFonts w:ascii="Arial" w:hAnsi="Arial" w:cs="Arial"/>
          <w:iCs w:val="0"/>
          <w:lang w:val="en-US"/>
        </w:rPr>
        <w:t xml:space="preserve"> This explains why international organizations and leading global corporations feel so at home here. However, Vienna’s global significance does not stop at being a HeadquarterCity: it also impresses as a KnowledgeCity, a CongressCity and a “DiverCity”. And each of these roles is represented by striking landmarks.</w:t>
      </w:r>
    </w:p>
    <w:p w14:paraId="34B043E7" w14:textId="77777777" w:rsidR="006D4DE7" w:rsidRPr="00855F05" w:rsidRDefault="006D4DE7">
      <w:pPr>
        <w:rPr>
          <w:rFonts w:ascii="Arial" w:hAnsi="Arial" w:cs="Arial"/>
          <w:lang w:val="en-US"/>
        </w:rPr>
      </w:pPr>
    </w:p>
    <w:p w14:paraId="01F990A8" w14:textId="15BC32BD" w:rsidR="006D4DE7" w:rsidRPr="001C58AC" w:rsidRDefault="00E95742">
      <w:pPr>
        <w:rPr>
          <w:rFonts w:ascii="Arial" w:hAnsi="Arial" w:cs="Arial"/>
          <w:lang w:val="en-US"/>
        </w:rPr>
      </w:pPr>
      <w:r>
        <w:rPr>
          <w:rFonts w:ascii="Arial" w:hAnsi="Arial" w:cs="Arial"/>
          <w:lang w:val="en-US"/>
        </w:rPr>
        <w:t>For example, Vienna’s Donau City, which is home to major global corporations as well as many UN organizations, is considered the heart of the HeadquarterCity. The United Nations has defined Vienna as one of its four official seats and is represented here with numerous organizations. The IAEA (International Atomic Energy Agency) and OPEC (Petroleum Exporting Countries) also have their headquarters in the city. In total, international institutions secure almost 20,000 jobs in Vienna</w:t>
      </w:r>
      <w:r>
        <w:rPr>
          <w:rStyle w:val="Funotenzeichen"/>
          <w:rFonts w:ascii="Arial" w:hAnsi="Arial" w:cs="Arial"/>
          <w:lang w:val="en-US"/>
        </w:rPr>
        <w:footnoteReference w:id="4"/>
      </w:r>
      <w:r>
        <w:rPr>
          <w:rFonts w:ascii="Arial" w:hAnsi="Arial" w:cs="Arial"/>
          <w:lang w:val="en-US"/>
        </w:rPr>
        <w:t xml:space="preserve">.  </w:t>
      </w:r>
      <w:r w:rsidRPr="001C58AC">
        <w:rPr>
          <w:rFonts w:ascii="Arial" w:hAnsi="Arial" w:cs="Arial"/>
          <w:lang w:val="en-US"/>
        </w:rPr>
        <w:t xml:space="preserve">180 multinational corporations </w:t>
      </w:r>
      <w:r w:rsidRPr="001C58AC">
        <w:rPr>
          <w:rFonts w:ascii="Arial" w:hAnsi="Arial" w:cs="Arial"/>
          <w:shd w:val="clear" w:color="auto" w:fill="FFFFFF" w:themeFill="background1"/>
          <w:lang w:val="en-US"/>
        </w:rPr>
        <w:t>take</w:t>
      </w:r>
      <w:r w:rsidRPr="001C58AC">
        <w:rPr>
          <w:rFonts w:ascii="Arial" w:hAnsi="Arial" w:cs="Arial"/>
          <w:lang w:val="en-US"/>
        </w:rPr>
        <w:t xml:space="preserve"> advantage of Vienna as an ideal location for servicing Central and Eastern Europe. Illustrious Austrian companies such as Wienerberger AG and OMV have also selected Vienna for the head offices of their groups.</w:t>
      </w:r>
    </w:p>
    <w:p w14:paraId="5E2F2438" w14:textId="6B838FBE" w:rsidR="006D4DE7" w:rsidRPr="0002293D" w:rsidRDefault="455D053B" w:rsidP="5A98C6EE">
      <w:pPr>
        <w:rPr>
          <w:rFonts w:ascii="Arial" w:hAnsi="Arial" w:cs="Arial"/>
          <w:lang w:val="en-US"/>
        </w:rPr>
      </w:pPr>
      <w:r w:rsidRPr="001C58AC">
        <w:rPr>
          <w:rFonts w:ascii="Arial" w:hAnsi="Arial" w:cs="Arial"/>
          <w:lang w:val="en-US"/>
        </w:rPr>
        <w:t>The city’s high quality of life and safety are reasons why international companies and organizations choose Vienna as a location to do business. Its multinational flair contributes to Vienna’s popularity among congress organizers and participants worldwide. The conference statistics for 2023 reveal that 6,454</w:t>
      </w:r>
      <w:r>
        <w:rPr>
          <w:rFonts w:ascii="Arial" w:hAnsi="Arial" w:cs="Arial"/>
          <w:lang w:val="en-US"/>
        </w:rPr>
        <w:t xml:space="preserve"> congresses and corporate events were held with a total of 1,591 million overnight stays, accounting for 9.2% of the total number of guests in Vienna.  In the ranking of the ICCA (International Congress and Convention Association), Vienna can always be found towards the top of the list: in 2023, Vienna took 4th place in the ICCA analysis of worldwide (association) congresses.  </w:t>
      </w:r>
      <w:r>
        <w:rPr>
          <w:rStyle w:val="Funotenzeichen"/>
          <w:rFonts w:ascii="Arial" w:hAnsi="Arial" w:cs="Arial"/>
          <w:lang w:val="en-US"/>
        </w:rPr>
        <w:footnoteReference w:id="5"/>
      </w:r>
      <w:r>
        <w:rPr>
          <w:rFonts w:ascii="Arial" w:hAnsi="Arial" w:cs="Arial"/>
          <w:lang w:val="en-US"/>
        </w:rPr>
        <w:t xml:space="preserve"> In addition to good accessibility and top services for event organizers, CongressCity Wien provides attractive event venues such as the Hofburg Vienna, the Austria Center Vienna and </w:t>
      </w:r>
      <w:r w:rsidR="00AF6F56">
        <w:rPr>
          <w:rFonts w:ascii="Arial" w:hAnsi="Arial" w:cs="Arial"/>
          <w:lang w:val="en-US"/>
        </w:rPr>
        <w:t xml:space="preserve">the </w:t>
      </w:r>
      <w:r w:rsidR="0129139E" w:rsidRPr="00AF6F56">
        <w:rPr>
          <w:rFonts w:ascii="Arial" w:eastAsia="Arial" w:hAnsi="Arial" w:cs="Arial"/>
          <w:color w:val="000000" w:themeColor="text1"/>
          <w:szCs w:val="21"/>
          <w:lang w:val="en-US"/>
        </w:rPr>
        <w:t xml:space="preserve">VIECON – Vienna Convention </w:t>
      </w:r>
      <w:r w:rsidR="00A103BA">
        <w:rPr>
          <w:rFonts w:ascii="Arial" w:eastAsia="Arial" w:hAnsi="Arial" w:cs="Arial"/>
          <w:color w:val="000000" w:themeColor="text1"/>
          <w:szCs w:val="21"/>
          <w:lang w:val="en-US"/>
        </w:rPr>
        <w:t>&amp;</w:t>
      </w:r>
      <w:r w:rsidR="0129139E" w:rsidRPr="00AF6F56">
        <w:rPr>
          <w:rFonts w:ascii="Arial" w:eastAsia="Arial" w:hAnsi="Arial" w:cs="Arial"/>
          <w:color w:val="000000" w:themeColor="text1"/>
          <w:szCs w:val="21"/>
          <w:lang w:val="en-US"/>
        </w:rPr>
        <w:t xml:space="preserve"> Congress Center</w:t>
      </w:r>
      <w:r>
        <w:rPr>
          <w:rFonts w:ascii="Arial" w:hAnsi="Arial" w:cs="Arial"/>
          <w:lang w:val="en-US"/>
        </w:rPr>
        <w:t>.</w:t>
      </w:r>
    </w:p>
    <w:p w14:paraId="518D521C" w14:textId="1A2A54E4" w:rsidR="006D4DE7" w:rsidRPr="00855F05" w:rsidRDefault="455D053B">
      <w:pPr>
        <w:rPr>
          <w:rFonts w:ascii="Arial" w:hAnsi="Arial" w:cs="Arial"/>
          <w:lang w:val="en-US"/>
        </w:rPr>
      </w:pPr>
      <w:r>
        <w:rPr>
          <w:rFonts w:ascii="Arial" w:hAnsi="Arial" w:cs="Arial"/>
          <w:lang w:val="en-US"/>
        </w:rPr>
        <w:t xml:space="preserve">Vienna’s importance as a city of knowledge is another motive for many organizers to bring their conference to Vienna. With a </w:t>
      </w:r>
      <w:r w:rsidRPr="001C58AC">
        <w:rPr>
          <w:rFonts w:ascii="Arial" w:hAnsi="Arial" w:cs="Arial"/>
          <w:lang w:val="en-US"/>
        </w:rPr>
        <w:t>research ratio of 4.04%,</w:t>
      </w:r>
      <w:r w:rsidRPr="001C58AC">
        <w:rPr>
          <w:rStyle w:val="Funotenzeichen"/>
          <w:rFonts w:ascii="Arial" w:hAnsi="Arial" w:cs="Arial"/>
          <w:lang w:val="en-US"/>
        </w:rPr>
        <w:footnoteReference w:id="6"/>
      </w:r>
      <w:r w:rsidRPr="001C58AC">
        <w:rPr>
          <w:rFonts w:ascii="Arial" w:hAnsi="Arial" w:cs="Arial"/>
          <w:lang w:val="en-US"/>
        </w:rPr>
        <w:t xml:space="preserve"> Vienna is one of the leading regions in the EU. Around 50,000 people are employed in research and development</w:t>
      </w:r>
      <w:r>
        <w:rPr>
          <w:rFonts w:ascii="Arial" w:hAnsi="Arial" w:cs="Arial"/>
          <w:lang w:val="en-US"/>
        </w:rPr>
        <w:t>. The number of research companies in the city has more than doubled in the past 15 years. And with around 197,000 students, Vienna – together with Berlin – is the biggest university city in the German-speaking countries</w:t>
      </w:r>
      <w:r>
        <w:rPr>
          <w:rStyle w:val="Funotenzeichen"/>
          <w:rFonts w:ascii="Arial" w:hAnsi="Arial" w:cs="Arial"/>
          <w:lang w:val="en-US"/>
        </w:rPr>
        <w:footnoteReference w:id="7"/>
      </w:r>
      <w:r>
        <w:rPr>
          <w:rFonts w:ascii="Arial" w:hAnsi="Arial" w:cs="Arial"/>
          <w:lang w:val="en-US"/>
        </w:rPr>
        <w:t xml:space="preserve">. The mdw – University of Music and Performing Arts Vienna is one of the best music universities in the </w:t>
      </w:r>
      <w:r>
        <w:rPr>
          <w:rFonts w:ascii="Arial" w:hAnsi="Arial" w:cs="Arial"/>
          <w:lang w:val="en-US"/>
        </w:rPr>
        <w:lastRenderedPageBreak/>
        <w:t>world</w:t>
      </w:r>
      <w:r>
        <w:rPr>
          <w:rStyle w:val="Funotenzeichen"/>
          <w:rFonts w:ascii="Arial" w:hAnsi="Arial" w:cs="Arial"/>
          <w:lang w:val="en-US"/>
        </w:rPr>
        <w:footnoteReference w:id="8"/>
      </w:r>
      <w:r>
        <w:rPr>
          <w:rFonts w:ascii="Arial" w:hAnsi="Arial" w:cs="Arial"/>
          <w:lang w:val="en-US"/>
        </w:rPr>
        <w:t>. In fall 2019, the new Central European University added another location to KnowledgeCity Vienna. The campus of the Vienna University of Economics and Business, the Neu Marx Research and Technology Center with the Vienna BioCenter, the campus of Vienna University and Siemens City also generate significant stimuli in the field of research.</w:t>
      </w:r>
    </w:p>
    <w:p w14:paraId="04B3D530" w14:textId="692A86CC" w:rsidR="006D4DE7" w:rsidRPr="00855F05" w:rsidRDefault="00E95742" w:rsidP="005B5E2F">
      <w:pPr>
        <w:rPr>
          <w:rFonts w:ascii="Arial" w:hAnsi="Arial" w:cs="Arial"/>
          <w:lang w:val="en-US"/>
        </w:rPr>
      </w:pPr>
      <w:r>
        <w:rPr>
          <w:rFonts w:ascii="Arial" w:hAnsi="Arial" w:cs="Arial"/>
          <w:lang w:val="en-US"/>
        </w:rPr>
        <w:t>The international character of the city is based on its cosmopolitanism, which in turn is rooted in the multicultural make-up of Vienna’s population. A walk through one of Vienna’s markets, such as the Naschmarkt, illustrates this as clearly as a look at traditional Viennese cuisine, which encompasses dishes originating from all the countries of the former Habsburg monarchy and offers delicious proof of the city’s cultural diversity. DiverCity Vienna is currently a home and place of employment for people from all parts of the world, around one third of Viennese were born outside Austria and almost 50%</w:t>
      </w:r>
      <w:r>
        <w:rPr>
          <w:rStyle w:val="Funotenzeichen"/>
          <w:rFonts w:ascii="Arial" w:hAnsi="Arial" w:cs="Arial"/>
          <w:lang w:val="en-US"/>
        </w:rPr>
        <w:footnoteReference w:id="9"/>
      </w:r>
      <w:r>
        <w:rPr>
          <w:rFonts w:ascii="Arial" w:hAnsi="Arial" w:cs="Arial"/>
          <w:lang w:val="en-US"/>
        </w:rPr>
        <w:t xml:space="preserve"> of the 2.0 million residents</w:t>
      </w:r>
      <w:r>
        <w:rPr>
          <w:rStyle w:val="Funotenzeichen"/>
          <w:rFonts w:ascii="Arial" w:hAnsi="Arial" w:cs="Arial"/>
          <w:lang w:val="en-US"/>
        </w:rPr>
        <w:footnoteReference w:id="10"/>
      </w:r>
      <w:r>
        <w:rPr>
          <w:rFonts w:ascii="Arial" w:hAnsi="Arial" w:cs="Arial"/>
          <w:lang w:val="en-US"/>
        </w:rPr>
        <w:t xml:space="preserve"> have a “migrant background” – in other words, both parents were born abroad, with members of the First Generation having been born abroad and members of the Second Generation having been born in Austria</w:t>
      </w:r>
      <w:r>
        <w:rPr>
          <w:rStyle w:val="Funotenzeichen"/>
          <w:rFonts w:ascii="Arial" w:hAnsi="Arial" w:cs="Arial"/>
          <w:lang w:val="en-US"/>
        </w:rPr>
        <w:footnoteReference w:id="11"/>
      </w:r>
      <w:r>
        <w:rPr>
          <w:rFonts w:ascii="Arial" w:hAnsi="Arial" w:cs="Arial"/>
          <w:lang w:val="en-US"/>
        </w:rPr>
        <w:t xml:space="preserve">. </w:t>
      </w:r>
    </w:p>
    <w:p w14:paraId="02063AC1" w14:textId="77777777" w:rsidR="006D4DE7" w:rsidRPr="00855F05" w:rsidRDefault="006D4DE7">
      <w:pPr>
        <w:pageBreakBefore/>
        <w:rPr>
          <w:rFonts w:ascii="Arial" w:hAnsi="Arial" w:cs="Arial"/>
          <w:lang w:val="en-US"/>
        </w:rPr>
      </w:pPr>
    </w:p>
    <w:p w14:paraId="4408A6F3" w14:textId="77777777" w:rsidR="006D4DE7" w:rsidRPr="0002293D" w:rsidRDefault="00E95742">
      <w:pPr>
        <w:pStyle w:val="Headline"/>
        <w:rPr>
          <w:rFonts w:ascii="Arial" w:hAnsi="Arial" w:cs="Arial"/>
          <w:lang w:val="en-US"/>
        </w:rPr>
      </w:pPr>
      <w:r>
        <w:rPr>
          <w:rFonts w:ascii="Arial" w:hAnsi="Arial" w:cs="Arial"/>
          <w:lang w:val="en-US"/>
        </w:rPr>
        <w:t xml:space="preserve">Facts and Figures </w:t>
      </w:r>
    </w:p>
    <w:p w14:paraId="1AF991E6" w14:textId="77777777" w:rsidR="006D4DE7" w:rsidRPr="0002293D" w:rsidRDefault="00E95742">
      <w:pPr>
        <w:pStyle w:val="Headline"/>
        <w:rPr>
          <w:rFonts w:ascii="Arial" w:hAnsi="Arial" w:cs="Arial"/>
          <w:lang w:val="en-US"/>
        </w:rPr>
      </w:pPr>
      <w:r>
        <w:rPr>
          <w:rFonts w:ascii="Arial" w:hAnsi="Arial" w:cs="Arial"/>
          <w:lang w:val="en-US"/>
        </w:rPr>
        <w:t>“International Vienna”</w:t>
      </w:r>
    </w:p>
    <w:p w14:paraId="1F9171F2" w14:textId="77777777" w:rsidR="00427064" w:rsidRPr="0002293D" w:rsidRDefault="00427064">
      <w:pPr>
        <w:pStyle w:val="berschrift2"/>
        <w:ind w:left="567" w:firstLine="0"/>
        <w:rPr>
          <w:rFonts w:ascii="Arial" w:hAnsi="Arial" w:cs="Arial"/>
          <w:bCs/>
          <w:lang w:val="en-US"/>
        </w:rPr>
      </w:pPr>
    </w:p>
    <w:p w14:paraId="17A9A70E" w14:textId="17DD4AF6" w:rsidR="006D4DE7" w:rsidRPr="003E16BF" w:rsidRDefault="00E95742">
      <w:pPr>
        <w:pStyle w:val="berschrift2"/>
        <w:ind w:left="567" w:firstLine="0"/>
        <w:rPr>
          <w:rFonts w:ascii="Arial" w:hAnsi="Arial" w:cs="Arial"/>
          <w:bCs/>
        </w:rPr>
      </w:pPr>
      <w:r>
        <w:rPr>
          <w:rFonts w:ascii="Arial" w:hAnsi="Arial" w:cs="Arial"/>
          <w:lang w:val="en-US"/>
        </w:rPr>
        <w:t>HeadquarterCity</w:t>
      </w:r>
    </w:p>
    <w:p w14:paraId="627A9216" w14:textId="5F4C7860" w:rsidR="00BD2044" w:rsidRPr="005E3C43" w:rsidRDefault="455D053B" w:rsidP="00320B4C">
      <w:pPr>
        <w:pStyle w:val="Aufzhlung"/>
        <w:numPr>
          <w:ilvl w:val="0"/>
          <w:numId w:val="2"/>
        </w:numPr>
        <w:ind w:left="851" w:hanging="284"/>
        <w:jc w:val="left"/>
        <w:rPr>
          <w:rFonts w:ascii="Arial" w:hAnsi="Arial" w:cs="Arial"/>
        </w:rPr>
      </w:pPr>
      <w:r>
        <w:rPr>
          <w:rFonts w:ascii="Arial" w:hAnsi="Arial" w:cs="Arial"/>
        </w:rPr>
        <w:t xml:space="preserve">Vienna has been one of the four official seats of the United Nations and home to more than a dozen of UN organizations, IAEA and OPEC, OSZE (seat of the secretariat in Vienna since 1995) as well as numerous other international organizations – with almost 20,000 employees – for over 40 years (Source: </w:t>
      </w:r>
      <w:hyperlink r:id="rId11" w:history="1">
        <w:r>
          <w:rPr>
            <w:rStyle w:val="Hyperlink"/>
            <w:rFonts w:ascii="Arial" w:hAnsi="Arial" w:cs="Arial"/>
            <w:szCs w:val="21"/>
          </w:rPr>
          <w:t>www.bmeia.gv.at/themen/wien-als-sitz-internationaler-organisationen</w:t>
        </w:r>
      </w:hyperlink>
      <w:r>
        <w:rPr>
          <w:rFonts w:ascii="Arial" w:hAnsi="Arial" w:cs="Arial"/>
          <w:u w:val="single"/>
        </w:rPr>
        <w:t>)</w:t>
      </w:r>
    </w:p>
    <w:p w14:paraId="13433335" w14:textId="424C371E" w:rsidR="006D4DE7" w:rsidRPr="005E3C43" w:rsidRDefault="00C44711" w:rsidP="00792BE3">
      <w:pPr>
        <w:pStyle w:val="Aufzhlung"/>
        <w:numPr>
          <w:ilvl w:val="0"/>
          <w:numId w:val="2"/>
        </w:numPr>
        <w:ind w:left="851" w:hanging="284"/>
        <w:jc w:val="left"/>
        <w:rPr>
          <w:rFonts w:ascii="Arial" w:hAnsi="Arial" w:cs="Arial"/>
        </w:rPr>
      </w:pPr>
      <w:r>
        <w:rPr>
          <w:rFonts w:ascii="Arial" w:hAnsi="Arial" w:cs="Arial"/>
        </w:rPr>
        <w:t xml:space="preserve">180 international companies have their headquarters in Vienna, in addition to globally established Austrian companies (e.g. Wienerberger AG, OMV) (Source: </w:t>
      </w:r>
      <w:hyperlink r:id="rId12" w:history="1">
        <w:r>
          <w:rPr>
            <w:rFonts w:ascii="Arial" w:hAnsi="Arial" w:cs="Arial"/>
          </w:rPr>
          <w:t>Study: Die Landschaft von Firmenzentralen in Österreich: Firmenzentralen in Wien. Study Report 2022 (</w:t>
        </w:r>
        <w:r>
          <w:rPr>
            <w:rStyle w:val="Hyperlink"/>
            <w:rFonts w:ascii="Arial" w:hAnsi="Arial"/>
            <w:szCs w:val="21"/>
            <w:u w:val="none"/>
          </w:rPr>
          <w:t>wu.ac.at</w:t>
        </w:r>
        <w:r>
          <w:rPr>
            <w:rFonts w:ascii="Arial" w:hAnsi="Arial" w:cs="Arial"/>
          </w:rPr>
          <w:t>)</w:t>
        </w:r>
      </w:hyperlink>
      <w:r>
        <w:rPr>
          <w:rFonts w:ascii="Arial" w:hAnsi="Arial" w:cs="Arial"/>
        </w:rPr>
        <w:t xml:space="preserve"> </w:t>
      </w:r>
    </w:p>
    <w:p w14:paraId="14102A3C" w14:textId="1D3C1B32" w:rsidR="006D4DE7" w:rsidRDefault="00D25786" w:rsidP="00BD61F4">
      <w:pPr>
        <w:pStyle w:val="Aufzhlung"/>
        <w:numPr>
          <w:ilvl w:val="0"/>
          <w:numId w:val="2"/>
        </w:numPr>
        <w:ind w:left="851" w:hanging="284"/>
        <w:jc w:val="left"/>
        <w:rPr>
          <w:rFonts w:ascii="Arial" w:hAnsi="Arial" w:cs="Arial"/>
          <w:bCs/>
          <w:szCs w:val="21"/>
        </w:rPr>
      </w:pPr>
      <w:r>
        <w:rPr>
          <w:rFonts w:ascii="Arial" w:hAnsi="Arial" w:cs="Arial"/>
          <w:szCs w:val="21"/>
        </w:rPr>
        <w:t xml:space="preserve">227 international companies took up residence in Vienna in 2023 (Source: </w:t>
      </w:r>
      <w:r>
        <w:rPr>
          <w:rFonts w:ascii="Arial" w:hAnsi="Arial" w:cs="Arial"/>
          <w:szCs w:val="21"/>
        </w:rPr>
        <w:br/>
      </w:r>
      <w:r>
        <w:rPr>
          <w:rFonts w:ascii="Arial" w:hAnsi="Arial" w:cs="Arial"/>
        </w:rPr>
        <w:t>Wien in Zahlen 2024</w:t>
      </w:r>
      <w:r>
        <w:rPr>
          <w:rFonts w:ascii="Arial" w:hAnsi="Arial" w:cs="Arial"/>
          <w:szCs w:val="21"/>
        </w:rPr>
        <w:t>)</w:t>
      </w:r>
    </w:p>
    <w:p w14:paraId="30D4ABE3" w14:textId="00EB6473" w:rsidR="006D4DE7" w:rsidRPr="005E3C43" w:rsidRDefault="00E95742">
      <w:pPr>
        <w:pStyle w:val="Aufzhlung"/>
        <w:numPr>
          <w:ilvl w:val="0"/>
          <w:numId w:val="2"/>
        </w:numPr>
        <w:ind w:left="851" w:hanging="284"/>
        <w:rPr>
          <w:rFonts w:ascii="Arial" w:hAnsi="Arial" w:cs="Arial"/>
          <w:bCs/>
          <w:szCs w:val="21"/>
        </w:rPr>
      </w:pPr>
      <w:r>
        <w:rPr>
          <w:rFonts w:ascii="Arial" w:hAnsi="Arial" w:cs="Arial"/>
          <w:szCs w:val="21"/>
        </w:rPr>
        <w:t>Locations: Donau City, Business Park Vienna, Donaukanal, Siemens City, Viertel Zwei</w:t>
      </w:r>
    </w:p>
    <w:p w14:paraId="69D2EA32" w14:textId="77777777" w:rsidR="006D4DE7" w:rsidRPr="005E3C43" w:rsidRDefault="006D4DE7">
      <w:pPr>
        <w:pStyle w:val="Aufzhlung"/>
        <w:ind w:left="851"/>
        <w:rPr>
          <w:rFonts w:ascii="Arial" w:hAnsi="Arial" w:cs="Arial"/>
          <w:bCs/>
          <w:szCs w:val="21"/>
        </w:rPr>
      </w:pPr>
    </w:p>
    <w:p w14:paraId="5B6F6BFC" w14:textId="77777777" w:rsidR="006D4DE7" w:rsidRPr="005E3C43" w:rsidRDefault="00E95742">
      <w:pPr>
        <w:pStyle w:val="berschrift2"/>
        <w:ind w:left="567" w:firstLine="0"/>
        <w:rPr>
          <w:rFonts w:ascii="Arial" w:hAnsi="Arial" w:cs="Arial"/>
          <w:bCs/>
          <w:szCs w:val="21"/>
        </w:rPr>
      </w:pPr>
      <w:r>
        <w:rPr>
          <w:rFonts w:ascii="Arial" w:hAnsi="Arial" w:cs="Arial"/>
          <w:szCs w:val="21"/>
          <w:lang w:val="en-US"/>
        </w:rPr>
        <w:t>KnowledgeCity</w:t>
      </w:r>
    </w:p>
    <w:p w14:paraId="4A329FB4" w14:textId="0C2FABFD" w:rsidR="000C356A" w:rsidRDefault="00D25786" w:rsidP="00250A47">
      <w:pPr>
        <w:pStyle w:val="Aufzhlung"/>
        <w:numPr>
          <w:ilvl w:val="0"/>
          <w:numId w:val="2"/>
        </w:numPr>
        <w:ind w:left="851" w:hanging="284"/>
        <w:jc w:val="left"/>
        <w:rPr>
          <w:rFonts w:ascii="Arial" w:hAnsi="Arial" w:cs="Arial"/>
          <w:bCs/>
          <w:szCs w:val="21"/>
        </w:rPr>
      </w:pPr>
      <w:r>
        <w:rPr>
          <w:rFonts w:ascii="Arial" w:hAnsi="Arial" w:cs="Arial"/>
          <w:szCs w:val="21"/>
        </w:rPr>
        <w:t>Vienna accounts for around 30% of Austria’s total research expenditure, and Vienna’s research ratio (meaning the expenditure on research and development) is 4.04%, making the city one of the leading regions in the EU (source: Wien in Zahlen, Forschung und Entwicklung 2024)</w:t>
      </w:r>
    </w:p>
    <w:p w14:paraId="63773A6B" w14:textId="59927B74" w:rsidR="006D4DE7" w:rsidRPr="005E3C43" w:rsidRDefault="00BD2044">
      <w:pPr>
        <w:pStyle w:val="Aufzhlung"/>
        <w:numPr>
          <w:ilvl w:val="0"/>
          <w:numId w:val="2"/>
        </w:numPr>
        <w:ind w:left="851" w:hanging="284"/>
        <w:rPr>
          <w:rFonts w:ascii="Arial" w:hAnsi="Arial" w:cs="Arial"/>
          <w:bCs/>
          <w:szCs w:val="21"/>
        </w:rPr>
      </w:pPr>
      <w:r>
        <w:rPr>
          <w:rFonts w:ascii="Arial" w:hAnsi="Arial" w:cs="Arial"/>
          <w:szCs w:val="21"/>
        </w:rPr>
        <w:t>Around 51,000 people work in Vienna in the field of research (Source: Wien in Zahlen, Forschung und Entwicklung 2024)</w:t>
      </w:r>
    </w:p>
    <w:p w14:paraId="126DAB58" w14:textId="6396E728" w:rsidR="00364796" w:rsidRPr="002B311E" w:rsidRDefault="4F31CB26" w:rsidP="7AE7903B">
      <w:pPr>
        <w:pStyle w:val="Aufzhlung"/>
        <w:numPr>
          <w:ilvl w:val="0"/>
          <w:numId w:val="2"/>
        </w:numPr>
        <w:ind w:left="851" w:hanging="284"/>
        <w:jc w:val="left"/>
        <w:rPr>
          <w:rFonts w:ascii="Arial" w:eastAsia="Arial" w:hAnsi="Arial" w:cs="Arial"/>
          <w:color w:val="000000" w:themeColor="text1"/>
          <w:szCs w:val="21"/>
        </w:rPr>
      </w:pPr>
      <w:bookmarkStart w:id="0" w:name="_Hlk85637072"/>
      <w:r>
        <w:rPr>
          <w:rFonts w:ascii="Arial" w:hAnsi="Arial" w:cs="Arial"/>
        </w:rPr>
        <w:t xml:space="preserve">26 universities (universities of education, universities of applied science, and private universities (Source:  </w:t>
      </w:r>
      <w:hyperlink r:id="rId13" w:history="1">
        <w:r>
          <w:rPr>
            <w:rStyle w:val="Hyperlink"/>
            <w:rFonts w:ascii="Arial" w:hAnsi="Arial" w:cs="Arial"/>
          </w:rPr>
          <w:t>www.wien.gv.at/bildung/hochschulen/</w:t>
        </w:r>
      </w:hyperlink>
      <w:r>
        <w:rPr>
          <w:rFonts w:ascii="Arial" w:hAnsi="Arial" w:cs="Arial"/>
        </w:rPr>
        <w:t xml:space="preserve"> )</w:t>
      </w:r>
    </w:p>
    <w:p w14:paraId="60C9C353" w14:textId="662DD6D6" w:rsidR="00334404" w:rsidRPr="0002293D" w:rsidRDefault="00334404" w:rsidP="4DDB3DB3">
      <w:pPr>
        <w:pStyle w:val="Aufzhlung"/>
        <w:numPr>
          <w:ilvl w:val="0"/>
          <w:numId w:val="2"/>
        </w:numPr>
        <w:ind w:left="851"/>
        <w:jc w:val="left"/>
        <w:rPr>
          <w:rFonts w:ascii="Arial" w:eastAsia="Arial" w:hAnsi="Arial" w:cs="Arial"/>
          <w:color w:val="000000" w:themeColor="text1"/>
          <w:lang w:val="fr-FR"/>
        </w:rPr>
      </w:pPr>
      <w:bookmarkStart w:id="1" w:name="_Hlk66120855"/>
      <w:r>
        <w:rPr>
          <w:rFonts w:ascii="Arial" w:hAnsi="Arial" w:cs="Arial"/>
        </w:rPr>
        <w:t xml:space="preserve">The mdw – University of Music and Performing Arts Vienna ranked fourth in the QS University Ranking 2023. </w:t>
      </w:r>
      <w:r w:rsidRPr="0002293D">
        <w:rPr>
          <w:rFonts w:ascii="Arial" w:hAnsi="Arial" w:cs="Arial"/>
          <w:lang w:val="fr-FR"/>
        </w:rPr>
        <w:t xml:space="preserve">(Source: </w:t>
      </w:r>
      <w:r w:rsidRPr="0002293D">
        <w:rPr>
          <w:rStyle w:val="Hyperlink"/>
          <w:rFonts w:ascii="Arial" w:hAnsi="Arial"/>
          <w:lang w:val="fr-FR"/>
        </w:rPr>
        <w:t>www.topuniversities.com/university-rankings/university-subject-rankings/2023/performing-arts</w:t>
      </w:r>
      <w:r w:rsidRPr="0002293D">
        <w:rPr>
          <w:rFonts w:ascii="Arial" w:hAnsi="Arial" w:cs="Arial"/>
          <w:lang w:val="fr-FR"/>
        </w:rPr>
        <w:t>)</w:t>
      </w:r>
    </w:p>
    <w:bookmarkEnd w:id="1"/>
    <w:p w14:paraId="22DD1913" w14:textId="5FD12AF6" w:rsidR="006D4DE7" w:rsidRPr="005E3C43" w:rsidRDefault="00153EBE" w:rsidP="004A286A">
      <w:pPr>
        <w:pStyle w:val="Aufzhlung"/>
        <w:numPr>
          <w:ilvl w:val="0"/>
          <w:numId w:val="2"/>
        </w:numPr>
        <w:ind w:left="851" w:hanging="284"/>
        <w:jc w:val="left"/>
        <w:rPr>
          <w:rFonts w:ascii="Arial" w:hAnsi="Arial" w:cs="Arial"/>
          <w:bCs/>
          <w:szCs w:val="21"/>
        </w:rPr>
      </w:pPr>
      <w:r>
        <w:rPr>
          <w:rFonts w:ascii="Arial" w:hAnsi="Arial" w:cs="Arial"/>
          <w:szCs w:val="21"/>
        </w:rPr>
        <w:t>With around 197,000 students, Vienna – together with Berlin – is the largest university city in the German-speaking countries (source: Wien in Zahlen 2024)</w:t>
      </w:r>
    </w:p>
    <w:bookmarkEnd w:id="0"/>
    <w:p w14:paraId="046CDF21" w14:textId="140414EC" w:rsidR="00427064" w:rsidRPr="00801226" w:rsidRDefault="00E95742" w:rsidP="00427064">
      <w:pPr>
        <w:pStyle w:val="Aufzhlung"/>
        <w:numPr>
          <w:ilvl w:val="0"/>
          <w:numId w:val="2"/>
        </w:numPr>
        <w:ind w:left="851" w:hanging="284"/>
        <w:rPr>
          <w:rFonts w:ascii="Arial" w:hAnsi="Arial" w:cs="Arial"/>
          <w:bCs/>
          <w:szCs w:val="21"/>
        </w:rPr>
      </w:pPr>
      <w:r>
        <w:rPr>
          <w:rFonts w:ascii="Arial" w:hAnsi="Arial" w:cs="Arial"/>
          <w:szCs w:val="21"/>
        </w:rPr>
        <w:t>Vienna invests roughly €100 million in research and development every year (2021: 131 million)</w:t>
      </w:r>
      <w:r w:rsidR="00C9699A">
        <w:rPr>
          <w:rFonts w:ascii="Arial" w:hAnsi="Arial" w:cs="Arial"/>
          <w:szCs w:val="21"/>
        </w:rPr>
        <w:t xml:space="preserve"> </w:t>
      </w:r>
      <w:r>
        <w:rPr>
          <w:rFonts w:ascii="Arial" w:hAnsi="Arial" w:cs="Arial"/>
          <w:szCs w:val="21"/>
        </w:rPr>
        <w:t xml:space="preserve">(Source: Wien in Zahlen, Forschung und Entwicklung 2024) </w:t>
      </w:r>
    </w:p>
    <w:p w14:paraId="2D5165ED" w14:textId="53ABE494" w:rsidR="006D4DE7" w:rsidRPr="00427064" w:rsidRDefault="00E95742" w:rsidP="00427064">
      <w:pPr>
        <w:pStyle w:val="Aufzhlung"/>
        <w:numPr>
          <w:ilvl w:val="0"/>
          <w:numId w:val="2"/>
        </w:numPr>
        <w:ind w:left="851" w:hanging="284"/>
        <w:rPr>
          <w:rFonts w:ascii="Arial" w:hAnsi="Arial" w:cs="Arial"/>
          <w:bCs/>
          <w:szCs w:val="21"/>
        </w:rPr>
      </w:pPr>
      <w:r>
        <w:rPr>
          <w:rFonts w:ascii="Arial" w:hAnsi="Arial" w:cs="Arial"/>
          <w:szCs w:val="21"/>
        </w:rPr>
        <w:lastRenderedPageBreak/>
        <w:t>Locations: Vienna University of Economics and Business campus, Neu Marx (Vienna BioCenter), University of Vienna campus, Siemens City</w:t>
      </w:r>
    </w:p>
    <w:p w14:paraId="088366BB" w14:textId="77777777" w:rsidR="00334404" w:rsidRPr="005E3C43" w:rsidRDefault="00334404" w:rsidP="00334404">
      <w:pPr>
        <w:pStyle w:val="Aufzhlung"/>
        <w:ind w:left="851"/>
        <w:rPr>
          <w:rFonts w:ascii="Arial" w:hAnsi="Arial" w:cs="Arial"/>
          <w:bCs/>
          <w:szCs w:val="21"/>
        </w:rPr>
      </w:pPr>
    </w:p>
    <w:p w14:paraId="3FDFDCA1" w14:textId="04DD7732" w:rsidR="006D4DE7" w:rsidRPr="005E3C43" w:rsidRDefault="00E95742">
      <w:pPr>
        <w:pStyle w:val="berschrift2"/>
        <w:ind w:left="0" w:firstLine="567"/>
        <w:rPr>
          <w:rFonts w:ascii="Arial" w:hAnsi="Arial" w:cs="Arial"/>
          <w:szCs w:val="21"/>
        </w:rPr>
      </w:pPr>
      <w:r>
        <w:rPr>
          <w:rFonts w:ascii="Arial" w:hAnsi="Arial" w:cs="Arial"/>
          <w:szCs w:val="21"/>
          <w:lang w:val="en-US"/>
        </w:rPr>
        <w:t>CongressCity</w:t>
      </w:r>
    </w:p>
    <w:p w14:paraId="0A1FD4CC" w14:textId="7F14A1FD" w:rsidR="006D4DE7" w:rsidRDefault="007A38BD" w:rsidP="001707C5">
      <w:pPr>
        <w:pStyle w:val="Aufzhlung"/>
        <w:numPr>
          <w:ilvl w:val="0"/>
          <w:numId w:val="4"/>
        </w:numPr>
        <w:ind w:left="851" w:hanging="284"/>
        <w:rPr>
          <w:rFonts w:ascii="Arial" w:hAnsi="Arial" w:cs="Arial"/>
          <w:bCs/>
          <w:szCs w:val="21"/>
        </w:rPr>
      </w:pPr>
      <w:r>
        <w:rPr>
          <w:rFonts w:ascii="Arial" w:hAnsi="Arial" w:cs="Arial"/>
          <w:szCs w:val="21"/>
        </w:rPr>
        <w:t xml:space="preserve">2023: In the ranking of the International Congress and Convention Association (ICCA), Vienna came in fourth place </w:t>
      </w:r>
    </w:p>
    <w:p w14:paraId="7C043BB1" w14:textId="12051C43" w:rsidR="00AD2C6A" w:rsidRPr="009D2669" w:rsidRDefault="00AD2C6A" w:rsidP="001707C5">
      <w:pPr>
        <w:pStyle w:val="Aufzhlung"/>
        <w:numPr>
          <w:ilvl w:val="0"/>
          <w:numId w:val="4"/>
        </w:numPr>
        <w:ind w:left="851" w:hanging="284"/>
        <w:rPr>
          <w:rFonts w:ascii="Arial" w:hAnsi="Arial" w:cs="Arial"/>
          <w:bCs/>
          <w:szCs w:val="21"/>
        </w:rPr>
      </w:pPr>
      <w:r>
        <w:rPr>
          <w:rFonts w:ascii="Arial" w:hAnsi="Arial" w:cs="Arial"/>
          <w:szCs w:val="21"/>
        </w:rPr>
        <w:t>2023: Vienna ranked 2nd in the Union of International Associations (UIA) Conference Ranking</w:t>
      </w:r>
    </w:p>
    <w:p w14:paraId="02335474" w14:textId="4C72E4CA" w:rsidR="006D4DE7" w:rsidRPr="005E3C43" w:rsidRDefault="002B1953">
      <w:pPr>
        <w:pStyle w:val="Aufzhlung"/>
        <w:numPr>
          <w:ilvl w:val="0"/>
          <w:numId w:val="2"/>
        </w:numPr>
        <w:ind w:left="851" w:hanging="284"/>
        <w:rPr>
          <w:rFonts w:ascii="Arial" w:hAnsi="Arial" w:cs="Arial"/>
          <w:bCs/>
          <w:szCs w:val="21"/>
        </w:rPr>
      </w:pPr>
      <w:r>
        <w:rPr>
          <w:rFonts w:ascii="Arial" w:hAnsi="Arial" w:cs="Arial"/>
          <w:szCs w:val="21"/>
        </w:rPr>
        <w:t xml:space="preserve">2023: 6,454 congresses and corporate events with 1,591 million overnight stays (9% of all overnight stays) </w:t>
      </w:r>
    </w:p>
    <w:p w14:paraId="063B9E6A" w14:textId="6EBFF072" w:rsidR="006D4DE7" w:rsidRPr="005E3C43" w:rsidRDefault="00E95742">
      <w:pPr>
        <w:pStyle w:val="Aufzhlung"/>
        <w:numPr>
          <w:ilvl w:val="0"/>
          <w:numId w:val="2"/>
        </w:numPr>
        <w:ind w:left="851" w:hanging="284"/>
        <w:rPr>
          <w:rFonts w:ascii="Arial" w:hAnsi="Arial" w:cs="Arial"/>
          <w:bCs/>
          <w:szCs w:val="21"/>
        </w:rPr>
      </w:pPr>
      <w:r>
        <w:rPr>
          <w:rFonts w:ascii="Arial" w:hAnsi="Arial" w:cs="Arial"/>
          <w:szCs w:val="21"/>
        </w:rPr>
        <w:t>Conference guest expenditure per capita/overnight stay: € 550 (about twice as much as the average of other visitors to Vienna)</w:t>
      </w:r>
    </w:p>
    <w:p w14:paraId="38390BCC" w14:textId="772ABFD6" w:rsidR="006D4DE7" w:rsidRPr="00922B3E" w:rsidRDefault="455D053B" w:rsidP="1D660F2A">
      <w:pPr>
        <w:pStyle w:val="Aufzhlung"/>
        <w:numPr>
          <w:ilvl w:val="0"/>
          <w:numId w:val="2"/>
        </w:numPr>
        <w:ind w:left="851" w:hanging="284"/>
        <w:rPr>
          <w:rFonts w:ascii="Arial" w:hAnsi="Arial" w:cs="Arial"/>
        </w:rPr>
      </w:pPr>
      <w:r w:rsidRPr="5A98C6EE">
        <w:rPr>
          <w:rFonts w:ascii="Arial" w:hAnsi="Arial" w:cs="Arial"/>
        </w:rPr>
        <w:t xml:space="preserve">Locations: Austria Center Vienna, </w:t>
      </w:r>
      <w:r w:rsidR="1C9FF433" w:rsidRPr="5A98C6EE">
        <w:rPr>
          <w:rFonts w:ascii="Arial" w:eastAsia="Arial" w:hAnsi="Arial" w:cs="Arial"/>
          <w:color w:val="000000" w:themeColor="text1"/>
          <w:szCs w:val="21"/>
          <w:lang w:val="de"/>
        </w:rPr>
        <w:t xml:space="preserve">VIECON – Vienna Convention </w:t>
      </w:r>
      <w:r w:rsidR="00502808">
        <w:rPr>
          <w:rFonts w:ascii="Arial" w:eastAsia="Arial" w:hAnsi="Arial" w:cs="Arial"/>
          <w:color w:val="000000" w:themeColor="text1"/>
          <w:szCs w:val="21"/>
          <w:lang w:val="de"/>
        </w:rPr>
        <w:t>&amp;</w:t>
      </w:r>
      <w:r w:rsidR="1C9FF433" w:rsidRPr="5A98C6EE">
        <w:rPr>
          <w:rFonts w:ascii="Arial" w:eastAsia="Arial" w:hAnsi="Arial" w:cs="Arial"/>
          <w:color w:val="000000" w:themeColor="text1"/>
          <w:szCs w:val="21"/>
          <w:lang w:val="de"/>
        </w:rPr>
        <w:t xml:space="preserve"> Congress Center</w:t>
      </w:r>
      <w:r w:rsidRPr="5A98C6EE">
        <w:rPr>
          <w:rFonts w:ascii="Arial" w:hAnsi="Arial" w:cs="Arial"/>
        </w:rPr>
        <w:t>, Hofburg Vienna</w:t>
      </w:r>
    </w:p>
    <w:p w14:paraId="7F865FEC" w14:textId="77777777" w:rsidR="006D4DE7" w:rsidRPr="00922B3E" w:rsidRDefault="006D4DE7">
      <w:pPr>
        <w:pStyle w:val="Aufzhlung"/>
        <w:ind w:left="851"/>
        <w:rPr>
          <w:rFonts w:ascii="Arial" w:hAnsi="Arial" w:cs="Arial"/>
          <w:bCs/>
          <w:szCs w:val="21"/>
        </w:rPr>
      </w:pPr>
    </w:p>
    <w:p w14:paraId="611AD4F2" w14:textId="77777777" w:rsidR="006D4DE7" w:rsidRPr="005E3C43" w:rsidRDefault="00E95742">
      <w:pPr>
        <w:pStyle w:val="berschrift2"/>
        <w:ind w:left="567" w:firstLine="0"/>
        <w:rPr>
          <w:rFonts w:ascii="Arial" w:hAnsi="Arial" w:cs="Arial"/>
          <w:bCs/>
          <w:szCs w:val="21"/>
        </w:rPr>
      </w:pPr>
      <w:r>
        <w:rPr>
          <w:rFonts w:ascii="Arial" w:hAnsi="Arial" w:cs="Arial"/>
          <w:szCs w:val="21"/>
          <w:lang w:val="en-US"/>
        </w:rPr>
        <w:t>DiverCity</w:t>
      </w:r>
    </w:p>
    <w:p w14:paraId="5D683DA0" w14:textId="25754BC0" w:rsidR="006D4DE7" w:rsidRPr="005E3C43" w:rsidRDefault="003D309E" w:rsidP="00755D19">
      <w:pPr>
        <w:pStyle w:val="Aufzhlung"/>
        <w:numPr>
          <w:ilvl w:val="0"/>
          <w:numId w:val="2"/>
        </w:numPr>
        <w:ind w:left="851" w:hanging="284"/>
        <w:jc w:val="left"/>
        <w:rPr>
          <w:rFonts w:ascii="Arial" w:hAnsi="Arial" w:cs="Arial"/>
          <w:bCs/>
          <w:szCs w:val="21"/>
        </w:rPr>
      </w:pPr>
      <w:r>
        <w:rPr>
          <w:rFonts w:ascii="Arial" w:hAnsi="Arial" w:cs="Arial"/>
          <w:szCs w:val="21"/>
        </w:rPr>
        <w:t xml:space="preserve">Around 880,000 people of international origin (were either not born in Austria or have foreign citizenship) live in Vienna (Source: </w:t>
      </w:r>
      <w:hyperlink r:id="rId14" w:history="1">
        <w:r>
          <w:rPr>
            <w:rStyle w:val="Hyperlink"/>
            <w:rFonts w:ascii="Arial" w:hAnsi="Arial" w:cs="Arial"/>
            <w:szCs w:val="21"/>
          </w:rPr>
          <w:t>www.wien.gv.at/menschen/integration/daten-fakten/bevoelkerung-migration.html</w:t>
        </w:r>
      </w:hyperlink>
    </w:p>
    <w:p w14:paraId="624A06F0" w14:textId="390B1C11" w:rsidR="00142264" w:rsidRPr="00922B3E" w:rsidRDefault="00E95742" w:rsidP="00303A1D">
      <w:pPr>
        <w:pStyle w:val="Aufzhlung"/>
        <w:numPr>
          <w:ilvl w:val="0"/>
          <w:numId w:val="2"/>
        </w:numPr>
        <w:ind w:left="851" w:hanging="284"/>
        <w:jc w:val="left"/>
        <w:rPr>
          <w:rFonts w:ascii="Arial" w:hAnsi="Arial" w:cs="Arial"/>
          <w:bCs/>
          <w:szCs w:val="21"/>
        </w:rPr>
      </w:pPr>
      <w:r>
        <w:rPr>
          <w:rFonts w:ascii="Arial" w:hAnsi="Arial" w:cs="Arial"/>
          <w:szCs w:val="21"/>
        </w:rPr>
        <w:t xml:space="preserve">Around 50% of Vienna’s population have a migration background (i.e. both parents were born abroad, with members of the First Generation having been born abroad and persons of the Second Generation having been born in Austria (Statistik Austria/UNECE) </w:t>
      </w:r>
      <w:r>
        <w:rPr>
          <w:rFonts w:ascii="Arial" w:hAnsi="Arial" w:cs="Arial"/>
          <w:szCs w:val="21"/>
        </w:rPr>
        <w:br/>
        <w:t xml:space="preserve">(Source: </w:t>
      </w:r>
      <w:r>
        <w:rPr>
          <w:rStyle w:val="Hyperlink"/>
          <w:rFonts w:ascii="Arial" w:hAnsi="Arial"/>
        </w:rPr>
        <w:t>www.statistik.at/statistiken/bevoelkerung-und-soziales/bevoelkerung/migration-und-einbuergerung/migrationshintergrund</w:t>
      </w:r>
      <w:r>
        <w:rPr>
          <w:rFonts w:ascii="Arial" w:hAnsi="Arial" w:cs="Arial"/>
          <w:szCs w:val="21"/>
        </w:rPr>
        <w:t>)</w:t>
      </w:r>
    </w:p>
    <w:p w14:paraId="306AC89C" w14:textId="77777777" w:rsidR="00142264" w:rsidRPr="00922B3E" w:rsidRDefault="00142264" w:rsidP="005B5E2F">
      <w:pPr>
        <w:pStyle w:val="Aufzhlung"/>
        <w:rPr>
          <w:rFonts w:ascii="Arial" w:hAnsi="Arial" w:cs="Arial"/>
          <w:szCs w:val="21"/>
        </w:rPr>
      </w:pPr>
    </w:p>
    <w:p w14:paraId="5AB58233" w14:textId="77777777" w:rsidR="003813FE" w:rsidRPr="00922B3E" w:rsidRDefault="003813FE">
      <w:pPr>
        <w:pStyle w:val="Aufzhlung"/>
      </w:pPr>
    </w:p>
    <w:sectPr w:rsidR="003813FE" w:rsidRPr="00922B3E" w:rsidSect="0041289A">
      <w:headerReference w:type="default" r:id="rId15"/>
      <w:footerReference w:type="even" r:id="rId16"/>
      <w:footerReference w:type="default" r:id="rId17"/>
      <w:pgSz w:w="11906" w:h="16838"/>
      <w:pgMar w:top="2268" w:right="1134" w:bottom="2269" w:left="1134" w:header="851"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F31CE" w14:textId="77777777" w:rsidR="007F1EBE" w:rsidRDefault="007F1EBE">
      <w:pPr>
        <w:spacing w:line="240" w:lineRule="auto"/>
      </w:pPr>
      <w:r>
        <w:separator/>
      </w:r>
    </w:p>
  </w:endnote>
  <w:endnote w:type="continuationSeparator" w:id="0">
    <w:p w14:paraId="698E5F3D" w14:textId="77777777" w:rsidR="007F1EBE" w:rsidRDefault="007F1EBE">
      <w:pPr>
        <w:spacing w:line="240" w:lineRule="auto"/>
      </w:pPr>
      <w:r>
        <w:continuationSeparator/>
      </w:r>
    </w:p>
  </w:endnote>
  <w:endnote w:type="continuationNotice" w:id="1">
    <w:p w14:paraId="17446529" w14:textId="77777777" w:rsidR="007F1EBE" w:rsidRDefault="007F1E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Graphik LCG">
    <w:altName w:val="Calibri"/>
    <w:charset w:val="00"/>
    <w:family w:val="auto"/>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5504" w14:textId="33424A29" w:rsidR="00EC061A" w:rsidRDefault="00EC061A">
    <w:pPr>
      <w:pStyle w:val="Fuzeile"/>
    </w:pPr>
    <w:r>
      <w:rPr>
        <w:noProof/>
        <w:lang w:val="en-US"/>
      </w:rPr>
      <w:drawing>
        <wp:anchor distT="0" distB="0" distL="114300" distR="114300" simplePos="0" relativeHeight="251658241" behindDoc="0" locked="1" layoutInCell="1" allowOverlap="1" wp14:anchorId="3A5F2004" wp14:editId="6E5C18AF">
          <wp:simplePos x="0" y="0"/>
          <wp:positionH relativeFrom="margin">
            <wp:align>center</wp:align>
          </wp:positionH>
          <wp:positionV relativeFrom="margin">
            <wp:posOffset>8461375</wp:posOffset>
          </wp:positionV>
          <wp:extent cx="936000" cy="180360"/>
          <wp:effectExtent l="0" t="0" r="381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w:t>
    </w:r>
    <w:r>
      <w:rPr>
        <w:noProof/>
        <w:lang w:val="en-US"/>
      </w:rPr>
      <w:fldChar w:fldCharType="begin"/>
    </w:r>
    <w:r>
      <w:rPr>
        <w:noProof/>
        <w:lang w:val="en-US"/>
      </w:rPr>
      <w:instrText xml:space="preserve"> NUMPAGES  \* MERGEFORMAT </w:instrText>
    </w:r>
    <w:r>
      <w:rPr>
        <w:noProof/>
        <w:lang w:val="en-US"/>
      </w:rPr>
      <w:fldChar w:fldCharType="separate"/>
    </w:r>
    <w:r>
      <w:rPr>
        <w:noProof/>
        <w:lang w:val="en-US"/>
      </w:rPr>
      <w:t>4</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4B6C" w14:textId="7C4FE626" w:rsidR="00EC061A" w:rsidRDefault="0002293D">
    <w:pPr>
      <w:pStyle w:val="Fuzeile"/>
    </w:pPr>
    <w:r w:rsidRPr="0002293D">
      <w:rPr>
        <w:noProof/>
        <w:lang w:val="de-AT" w:eastAsia="de-AT"/>
      </w:rPr>
      <w:drawing>
        <wp:anchor distT="0" distB="0" distL="114300" distR="114300" simplePos="0" relativeHeight="251660289" behindDoc="0" locked="1" layoutInCell="1" allowOverlap="1" wp14:anchorId="203D36B8" wp14:editId="6768EE82">
          <wp:simplePos x="0" y="0"/>
          <wp:positionH relativeFrom="margin">
            <wp:align>center</wp:align>
          </wp:positionH>
          <wp:positionV relativeFrom="page">
            <wp:posOffset>9901555</wp:posOffset>
          </wp:positionV>
          <wp:extent cx="1443600" cy="180000"/>
          <wp:effectExtent l="0" t="0" r="4445"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1443600" cy="180000"/>
                  </a:xfrm>
                  <a:prstGeom prst="rect">
                    <a:avLst/>
                  </a:prstGeom>
                </pic:spPr>
              </pic:pic>
            </a:graphicData>
          </a:graphic>
          <wp14:sizeRelH relativeFrom="margin">
            <wp14:pctWidth>0</wp14:pctWidth>
          </wp14:sizeRelH>
          <wp14:sizeRelV relativeFrom="margin">
            <wp14:pctHeight>0</wp14:pctHeight>
          </wp14:sizeRelV>
        </wp:anchor>
      </w:drawing>
    </w:r>
    <w:r w:rsidRPr="0002293D">
      <w:rPr>
        <w:lang w:val="en-US"/>
      </w:rPr>
      <w:softHyphen/>
    </w:r>
    <w:r w:rsidRPr="0002293D">
      <w:rPr>
        <w:lang w:val="en-US"/>
      </w:rPr>
      <w:fldChar w:fldCharType="begin"/>
    </w:r>
    <w:r w:rsidRPr="0002293D">
      <w:rPr>
        <w:lang w:val="en-US"/>
      </w:rPr>
      <w:instrText xml:space="preserve"> PAGE  \* MERGEFORMAT </w:instrText>
    </w:r>
    <w:r w:rsidRPr="0002293D">
      <w:rPr>
        <w:lang w:val="en-US"/>
      </w:rPr>
      <w:fldChar w:fldCharType="separate"/>
    </w:r>
    <w:r w:rsidRPr="0002293D">
      <w:rPr>
        <w:noProof/>
        <w:lang w:val="en-US"/>
      </w:rPr>
      <w:t>1</w:t>
    </w:r>
    <w:r w:rsidRPr="0002293D">
      <w:rPr>
        <w:lang w:val="en-US"/>
      </w:rPr>
      <w:fldChar w:fldCharType="end"/>
    </w:r>
    <w:r w:rsidRPr="0002293D">
      <w:rPr>
        <w:lang w:val="en-US"/>
      </w:rPr>
      <w:t>/</w:t>
    </w:r>
    <w:r w:rsidRPr="0002293D">
      <w:rPr>
        <w:lang w:val="en-US"/>
      </w:rPr>
      <w:fldChar w:fldCharType="begin"/>
    </w:r>
    <w:r w:rsidRPr="0002293D">
      <w:rPr>
        <w:lang w:val="en-US"/>
      </w:rPr>
      <w:instrText xml:space="preserve"> NUMPAGES  \* MERGEFORMAT </w:instrText>
    </w:r>
    <w:r w:rsidRPr="0002293D">
      <w:rPr>
        <w:lang w:val="en-US"/>
      </w:rPr>
      <w:fldChar w:fldCharType="separate"/>
    </w:r>
    <w:r w:rsidRPr="0002293D">
      <w:rPr>
        <w:noProof/>
        <w:lang w:val="en-US"/>
      </w:rPr>
      <w:t>1</w:t>
    </w:r>
    <w:r w:rsidRPr="0002293D">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CA71" w14:textId="77777777" w:rsidR="007F1EBE" w:rsidRDefault="007F1EBE">
      <w:pPr>
        <w:spacing w:line="240" w:lineRule="auto"/>
      </w:pPr>
      <w:r>
        <w:separator/>
      </w:r>
    </w:p>
  </w:footnote>
  <w:footnote w:type="continuationSeparator" w:id="0">
    <w:p w14:paraId="3207543A" w14:textId="77777777" w:rsidR="007F1EBE" w:rsidRDefault="007F1EBE">
      <w:pPr>
        <w:spacing w:line="240" w:lineRule="auto"/>
      </w:pPr>
      <w:r>
        <w:continuationSeparator/>
      </w:r>
    </w:p>
  </w:footnote>
  <w:footnote w:type="continuationNotice" w:id="1">
    <w:p w14:paraId="01778FFE" w14:textId="77777777" w:rsidR="007F1EBE" w:rsidRDefault="007F1EBE">
      <w:pPr>
        <w:spacing w:line="240" w:lineRule="auto"/>
      </w:pPr>
    </w:p>
  </w:footnote>
  <w:footnote w:id="2">
    <w:p w14:paraId="3A9B6A50" w14:textId="4A5FEEC3" w:rsidR="00C9723B" w:rsidRDefault="00C9723B">
      <w:pPr>
        <w:pStyle w:val="Funotentext"/>
      </w:pPr>
      <w:r>
        <w:rPr>
          <w:rStyle w:val="Funotenzeichen"/>
        </w:rPr>
        <w:footnoteRef/>
      </w:r>
      <w:r>
        <w:t xml:space="preserve"> </w:t>
      </w:r>
      <w:hyperlink r:id="rId1" w:history="1">
        <w:r w:rsidRPr="00540FDA">
          <w:rPr>
            <w:rStyle w:val="Hyperlink"/>
            <w:rFonts w:ascii="Arial" w:hAnsi="Arial" w:cs="Arial"/>
            <w:sz w:val="18"/>
            <w:szCs w:val="18"/>
            <w:lang w:val="fr-FR"/>
          </w:rPr>
          <w:t>https://www.eiu.com/n/campaigns/global-liveability-index-2024/</w:t>
        </w:r>
      </w:hyperlink>
    </w:p>
  </w:footnote>
  <w:footnote w:id="3">
    <w:p w14:paraId="58F79C60" w14:textId="581E401C" w:rsidR="00830070" w:rsidRPr="00830070" w:rsidRDefault="00830070">
      <w:pPr>
        <w:pStyle w:val="Funotentext"/>
      </w:pPr>
      <w:r>
        <w:rPr>
          <w:rStyle w:val="Funotenzeichen"/>
        </w:rPr>
        <w:footnoteRef/>
      </w:r>
      <w:r w:rsidRPr="00830070">
        <w:t xml:space="preserve"> </w:t>
      </w:r>
      <w:r w:rsidRPr="00830070">
        <w:rPr>
          <w:rStyle w:val="Hyperlink"/>
          <w:rFonts w:ascii="Arial" w:hAnsi="Arial" w:cs="Arial"/>
          <w:sz w:val="18"/>
          <w:szCs w:val="18"/>
        </w:rPr>
        <w:t>https://www.mercer.com/insights/total-rewards/talent-mobility-insights/quality-of-living-city-ranking/</w:t>
      </w:r>
    </w:p>
  </w:footnote>
  <w:footnote w:id="4">
    <w:p w14:paraId="019FE63D" w14:textId="7A9A06E1" w:rsidR="00EC061A" w:rsidRPr="00855F05" w:rsidRDefault="00EC061A" w:rsidP="005B3660">
      <w:pPr>
        <w:pStyle w:val="Funotentext"/>
        <w:jc w:val="left"/>
        <w:rPr>
          <w:rFonts w:ascii="Arial" w:hAnsi="Arial" w:cs="Arial"/>
          <w:sz w:val="18"/>
          <w:szCs w:val="18"/>
          <w:lang w:val="fr-FR"/>
        </w:rPr>
      </w:pPr>
      <w:r>
        <w:rPr>
          <w:rStyle w:val="Funotenzeichen"/>
          <w:sz w:val="18"/>
          <w:szCs w:val="18"/>
          <w:lang w:val="en-US"/>
        </w:rPr>
        <w:footnoteRef/>
      </w:r>
      <w:r w:rsidRPr="0002293D">
        <w:rPr>
          <w:sz w:val="18"/>
          <w:szCs w:val="18"/>
          <w:lang w:val="fr-FR"/>
        </w:rPr>
        <w:t xml:space="preserve"> </w:t>
      </w:r>
      <w:r w:rsidRPr="0002293D">
        <w:rPr>
          <w:rFonts w:ascii="Arial" w:hAnsi="Arial"/>
          <w:sz w:val="18"/>
          <w:szCs w:val="18"/>
          <w:lang w:val="fr-FR"/>
        </w:rPr>
        <w:t xml:space="preserve">Source: </w:t>
      </w:r>
      <w:hyperlink r:id="rId2" w:history="1">
        <w:r w:rsidRPr="0002293D">
          <w:rPr>
            <w:rStyle w:val="Hyperlink"/>
            <w:rFonts w:ascii="Arial" w:hAnsi="Arial" w:cs="Arial"/>
            <w:sz w:val="18"/>
            <w:szCs w:val="18"/>
            <w:lang w:val="fr-FR"/>
          </w:rPr>
          <w:t>www.bmeia.gv.at/themen/wien-als-sitz-internationaler-organisationen</w:t>
        </w:r>
      </w:hyperlink>
    </w:p>
  </w:footnote>
  <w:footnote w:id="5">
    <w:p w14:paraId="4230C8E2" w14:textId="0903D9C0" w:rsidR="00280BDC" w:rsidRPr="00A369E2" w:rsidRDefault="00280BDC">
      <w:pPr>
        <w:pStyle w:val="Funotentext"/>
        <w:rPr>
          <w:rFonts w:ascii="Arial" w:hAnsi="Arial" w:cs="Arial"/>
        </w:rPr>
      </w:pPr>
      <w:r>
        <w:rPr>
          <w:rStyle w:val="Funotenzeichen"/>
          <w:rFonts w:ascii="Arial" w:hAnsi="Arial" w:cs="Arial"/>
          <w:lang w:val="en-US"/>
        </w:rPr>
        <w:footnoteRef/>
      </w:r>
      <w:r w:rsidRPr="0002293D">
        <w:rPr>
          <w:rFonts w:ascii="Arial" w:hAnsi="Arial" w:cs="Arial"/>
          <w:lang w:val="de-AT"/>
        </w:rPr>
        <w:t xml:space="preserve"> </w:t>
      </w:r>
      <w:hyperlink r:id="rId3" w:history="1">
        <w:r w:rsidRPr="0002293D">
          <w:rPr>
            <w:rStyle w:val="Hyperlink"/>
            <w:rFonts w:ascii="Arial" w:hAnsi="Arial" w:cs="Arial"/>
            <w:sz w:val="18"/>
            <w:szCs w:val="18"/>
            <w:lang w:val="de-AT"/>
          </w:rPr>
          <w:t>www.iccaworld.org/</w:t>
        </w:r>
      </w:hyperlink>
    </w:p>
  </w:footnote>
  <w:footnote w:id="6">
    <w:p w14:paraId="1ADFD136" w14:textId="1FE7CC16" w:rsidR="00EC061A" w:rsidRPr="007211DB" w:rsidRDefault="00EC061A">
      <w:pPr>
        <w:pStyle w:val="Funotentext"/>
        <w:rPr>
          <w:rFonts w:ascii="Arial" w:hAnsi="Arial" w:cs="Arial"/>
          <w:sz w:val="18"/>
          <w:szCs w:val="18"/>
        </w:rPr>
      </w:pPr>
      <w:r>
        <w:rPr>
          <w:rStyle w:val="Funotenzeichen"/>
          <w:rFonts w:ascii="Arial" w:hAnsi="Arial" w:cs="Arial"/>
          <w:sz w:val="18"/>
          <w:szCs w:val="18"/>
          <w:lang w:val="en-US"/>
        </w:rPr>
        <w:footnoteRef/>
      </w:r>
      <w:r w:rsidRPr="0002293D">
        <w:rPr>
          <w:rFonts w:ascii="Arial" w:hAnsi="Arial" w:cs="Arial"/>
          <w:sz w:val="18"/>
          <w:szCs w:val="18"/>
          <w:lang w:val="de-AT"/>
        </w:rPr>
        <w:t xml:space="preserve"> Source: Wien in Zahlen, Forschung und Entwicklung 2024</w:t>
      </w:r>
    </w:p>
  </w:footnote>
  <w:footnote w:id="7">
    <w:p w14:paraId="4743D9F0" w14:textId="1A8D1879" w:rsidR="00EC061A" w:rsidRPr="006C3387" w:rsidRDefault="00EC061A" w:rsidP="00DF28B3">
      <w:pPr>
        <w:pStyle w:val="Funotentext"/>
        <w:ind w:left="567" w:firstLine="0"/>
        <w:rPr>
          <w:rFonts w:ascii="Arial" w:hAnsi="Arial" w:cs="Arial"/>
          <w:sz w:val="18"/>
          <w:szCs w:val="18"/>
        </w:rPr>
      </w:pPr>
      <w:r>
        <w:rPr>
          <w:rStyle w:val="Funotenzeichen"/>
          <w:rFonts w:ascii="Arial" w:hAnsi="Arial" w:cs="Arial"/>
          <w:sz w:val="18"/>
          <w:szCs w:val="18"/>
          <w:lang w:val="en-US"/>
        </w:rPr>
        <w:footnoteRef/>
      </w:r>
      <w:r w:rsidRPr="0002293D">
        <w:rPr>
          <w:rFonts w:ascii="Arial" w:hAnsi="Arial" w:cs="Arial"/>
          <w:sz w:val="18"/>
          <w:szCs w:val="18"/>
          <w:lang w:val="de-AT"/>
        </w:rPr>
        <w:t xml:space="preserve"> Source: Wien in Europa (Wien in Zahlen) 2024 </w:t>
      </w:r>
    </w:p>
  </w:footnote>
  <w:footnote w:id="8">
    <w:p w14:paraId="0AE34616" w14:textId="3FB3AEBD" w:rsidR="00EC061A" w:rsidRPr="00855F05" w:rsidRDefault="00EC061A" w:rsidP="00334404">
      <w:pPr>
        <w:pStyle w:val="Funotentext"/>
        <w:ind w:left="567" w:firstLine="0"/>
        <w:jc w:val="left"/>
        <w:rPr>
          <w:rStyle w:val="Hyperlink"/>
          <w:rFonts w:ascii="Arial" w:hAnsi="Arial"/>
          <w:sz w:val="18"/>
          <w:szCs w:val="18"/>
          <w:lang w:val="fr-FR"/>
        </w:rPr>
      </w:pPr>
      <w:r>
        <w:rPr>
          <w:rStyle w:val="Funotenzeichen"/>
          <w:rFonts w:ascii="Arial" w:hAnsi="Arial" w:cs="Arial"/>
          <w:sz w:val="18"/>
          <w:szCs w:val="18"/>
          <w:lang w:val="en-US"/>
        </w:rPr>
        <w:footnoteRef/>
      </w:r>
      <w:r w:rsidRPr="0002293D">
        <w:rPr>
          <w:rFonts w:ascii="Arial" w:hAnsi="Arial" w:cs="Arial"/>
          <w:sz w:val="18"/>
          <w:szCs w:val="18"/>
          <w:lang w:val="fr-FR"/>
        </w:rPr>
        <w:t xml:space="preserve"> Source: </w:t>
      </w:r>
      <w:hyperlink r:id="rId4" w:history="1">
        <w:r w:rsidRPr="0002293D">
          <w:rPr>
            <w:rStyle w:val="Hyperlink"/>
            <w:rFonts w:ascii="Arial" w:hAnsi="Arial"/>
            <w:sz w:val="18"/>
            <w:szCs w:val="18"/>
            <w:lang w:val="fr-FR"/>
          </w:rPr>
          <w:t>www.topuniversities.com/university-subject-rankings/performing-arts</w:t>
        </w:r>
      </w:hyperlink>
    </w:p>
  </w:footnote>
  <w:footnote w:id="9">
    <w:p w14:paraId="6B58AAC7" w14:textId="23C0EB7C" w:rsidR="00EC061A" w:rsidRPr="00855F05" w:rsidRDefault="00EC061A" w:rsidP="007211DB">
      <w:pPr>
        <w:pStyle w:val="Funotentext"/>
        <w:ind w:left="567" w:firstLine="0"/>
        <w:jc w:val="left"/>
        <w:rPr>
          <w:rFonts w:ascii="Arial" w:hAnsi="Arial" w:cs="Arial"/>
          <w:sz w:val="18"/>
          <w:szCs w:val="18"/>
          <w:lang w:val="fr-FR"/>
        </w:rPr>
      </w:pPr>
      <w:r>
        <w:rPr>
          <w:rStyle w:val="Funotenzeichen"/>
          <w:rFonts w:ascii="Arial" w:hAnsi="Arial" w:cs="Arial"/>
          <w:sz w:val="18"/>
          <w:szCs w:val="18"/>
          <w:lang w:val="en-US"/>
        </w:rPr>
        <w:footnoteRef/>
      </w:r>
      <w:r w:rsidRPr="0002293D">
        <w:rPr>
          <w:rFonts w:ascii="Arial" w:hAnsi="Arial" w:cs="Arial"/>
          <w:sz w:val="18"/>
          <w:szCs w:val="18"/>
          <w:lang w:val="fr-FR"/>
        </w:rPr>
        <w:t xml:space="preserve"> Source: </w:t>
      </w:r>
      <w:r w:rsidRPr="0002293D">
        <w:rPr>
          <w:rStyle w:val="Hyperlink"/>
          <w:rFonts w:ascii="Arial" w:hAnsi="Arial"/>
          <w:sz w:val="18"/>
          <w:lang w:val="fr-FR"/>
        </w:rPr>
        <w:t>www.statistik.at/statistiken/bevoelkerung-und-soziales/bevoelkerung/migration-und-einbuergerung/migrationshintergrund</w:t>
      </w:r>
    </w:p>
  </w:footnote>
  <w:footnote w:id="10">
    <w:p w14:paraId="4A276638" w14:textId="6FBACA9B" w:rsidR="00615974" w:rsidRPr="009D2669" w:rsidRDefault="00615974" w:rsidP="00513191">
      <w:pPr>
        <w:pStyle w:val="Funotentext"/>
        <w:ind w:left="567" w:firstLine="0"/>
        <w:jc w:val="left"/>
      </w:pPr>
      <w:r>
        <w:rPr>
          <w:rStyle w:val="Funotenzeichen"/>
          <w:lang w:val="en-US"/>
        </w:rPr>
        <w:footnoteRef/>
      </w:r>
      <w:r w:rsidRPr="0002293D">
        <w:rPr>
          <w:lang w:val="de-AT"/>
        </w:rPr>
        <w:t xml:space="preserve"> </w:t>
      </w:r>
      <w:r w:rsidRPr="0002293D">
        <w:rPr>
          <w:rFonts w:ascii="Arial" w:hAnsi="Arial"/>
          <w:sz w:val="18"/>
          <w:szCs w:val="18"/>
          <w:lang w:val="de-AT"/>
        </w:rPr>
        <w:t xml:space="preserve"> Source: Wien in Zahlen 2024</w:t>
      </w:r>
    </w:p>
  </w:footnote>
  <w:footnote w:id="11">
    <w:p w14:paraId="3305FFCB" w14:textId="0C4C1051" w:rsidR="00EC061A" w:rsidRPr="0002293D" w:rsidRDefault="00EC061A">
      <w:pPr>
        <w:pStyle w:val="Funotentext"/>
        <w:rPr>
          <w:rFonts w:ascii="Arial" w:hAnsi="Arial" w:cs="Arial"/>
          <w:lang w:val="de-AT"/>
        </w:rPr>
      </w:pPr>
      <w:r>
        <w:rPr>
          <w:rStyle w:val="Funotenzeichen"/>
          <w:rFonts w:ascii="Arial" w:hAnsi="Arial" w:cs="Arial"/>
          <w:sz w:val="18"/>
          <w:szCs w:val="18"/>
          <w:lang w:val="en-US"/>
        </w:rPr>
        <w:footnoteRef/>
      </w:r>
      <w:r w:rsidRPr="0002293D">
        <w:rPr>
          <w:rFonts w:ascii="Arial" w:hAnsi="Arial" w:cs="Arial"/>
          <w:sz w:val="18"/>
          <w:szCs w:val="18"/>
          <w:lang w:val="de-AT"/>
        </w:rPr>
        <w:t xml:space="preserve"> Source: </w:t>
      </w:r>
      <w:hyperlink r:id="rId5" w:history="1">
        <w:r w:rsidRPr="0002293D">
          <w:rPr>
            <w:rStyle w:val="Hyperlink"/>
            <w:rFonts w:ascii="Arial" w:hAnsi="Arial" w:cs="Arial"/>
            <w:sz w:val="18"/>
            <w:szCs w:val="18"/>
            <w:lang w:val="de-AT"/>
          </w:rPr>
          <w:t>www.wien.gv.at/statistik/bevoelkerung/bevoelkerungsstand/def-migration.html</w:t>
        </w:r>
      </w:hyperlink>
      <w:r w:rsidRPr="0002293D">
        <w:rPr>
          <w:rFonts w:ascii="Arial" w:hAnsi="Arial" w:cs="Arial"/>
          <w:lang w:val="de-AT"/>
        </w:rPr>
        <w:t xml:space="preserve"> </w:t>
      </w:r>
    </w:p>
    <w:p w14:paraId="2A71E6B7" w14:textId="77777777" w:rsidR="00EC061A" w:rsidRPr="0002293D" w:rsidRDefault="00EC061A">
      <w:pPr>
        <w:pStyle w:val="Funotentext"/>
        <w:rPr>
          <w:rFonts w:ascii="Arial" w:hAnsi="Arial" w:cs="Arial"/>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7A35" w14:textId="77777777" w:rsidR="00EC061A" w:rsidRDefault="00EC061A">
    <w:pPr>
      <w:pStyle w:val="Kopfzeile"/>
    </w:pPr>
  </w:p>
  <w:p w14:paraId="7ADB2A80" w14:textId="77777777" w:rsidR="00EC061A" w:rsidRDefault="00EC061A">
    <w:pPr>
      <w:pStyle w:val="Kopfzeile"/>
      <w:jc w:val="right"/>
    </w:pPr>
  </w:p>
  <w:p w14:paraId="44FA7C64" w14:textId="77777777" w:rsidR="00EC061A" w:rsidRDefault="00EC0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berschrift1"/>
      <w:lvlText w:val="%1."/>
      <w:lvlJc w:val="left"/>
      <w:pPr>
        <w:tabs>
          <w:tab w:val="num" w:pos="794"/>
        </w:tabs>
        <w:ind w:left="0" w:firstLine="0"/>
      </w:pPr>
      <w:rPr>
        <w:color w:val="E52236"/>
      </w:r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0" w:firstLine="0"/>
      </w:pPr>
    </w:lvl>
    <w:lvl w:ilvl="4">
      <w:start w:val="1"/>
      <w:numFmt w:val="none"/>
      <w:pStyle w:val="berschrift5"/>
      <w:suff w:val="nothing"/>
      <w:lvlText w:val=""/>
      <w:lvlJc w:val="left"/>
      <w:pPr>
        <w:tabs>
          <w:tab w:val="num" w:pos="1008"/>
        </w:tabs>
        <w:ind w:left="0" w:firstLine="0"/>
      </w:pPr>
    </w:lvl>
    <w:lvl w:ilvl="5">
      <w:start w:val="1"/>
      <w:numFmt w:val="none"/>
      <w:pStyle w:val="berschrift6"/>
      <w:suff w:val="nothing"/>
      <w:lvlText w:val=""/>
      <w:lvlJc w:val="left"/>
      <w:pPr>
        <w:tabs>
          <w:tab w:val="num" w:pos="1152"/>
        </w:tabs>
        <w:ind w:left="0" w:firstLine="0"/>
      </w:pPr>
    </w:lvl>
    <w:lvl w:ilvl="6">
      <w:start w:val="1"/>
      <w:numFmt w:val="none"/>
      <w:pStyle w:val="berschrift7"/>
      <w:suff w:val="nothing"/>
      <w:lvlText w:val=""/>
      <w:lvlJc w:val="left"/>
      <w:pPr>
        <w:tabs>
          <w:tab w:val="num" w:pos="1296"/>
        </w:tabs>
        <w:ind w:left="0" w:firstLine="0"/>
      </w:pPr>
    </w:lvl>
    <w:lvl w:ilvl="7">
      <w:start w:val="1"/>
      <w:numFmt w:val="none"/>
      <w:pStyle w:val="berschrift8"/>
      <w:suff w:val="nothing"/>
      <w:lvlText w:val=""/>
      <w:lvlJc w:val="left"/>
      <w:pPr>
        <w:tabs>
          <w:tab w:val="num" w:pos="1440"/>
        </w:tabs>
        <w:ind w:left="0" w:firstLine="0"/>
      </w:pPr>
    </w:lvl>
    <w:lvl w:ilvl="8">
      <w:start w:val="1"/>
      <w:numFmt w:val="none"/>
      <w:pStyle w:val="berschrift9"/>
      <w:suff w:val="nothing"/>
      <w:lvlText w:val=""/>
      <w:lvlJc w:val="left"/>
      <w:pPr>
        <w:tabs>
          <w:tab w:val="num" w:pos="1584"/>
        </w:tabs>
        <w:ind w:left="0" w:firstLine="0"/>
      </w:pPr>
    </w:lvl>
  </w:abstractNum>
  <w:abstractNum w:abstractNumId="1" w15:restartNumberingAfterBreak="0">
    <w:nsid w:val="00000002"/>
    <w:multiLevelType w:val="multilevel"/>
    <w:tmpl w:val="C33C6DFE"/>
    <w:lvl w:ilvl="0">
      <w:start w:val="1"/>
      <w:numFmt w:val="bullet"/>
      <w:lvlText w:val=""/>
      <w:lvlJc w:val="left"/>
      <w:pPr>
        <w:tabs>
          <w:tab w:val="num" w:pos="0"/>
        </w:tabs>
        <w:ind w:left="720" w:hanging="360"/>
      </w:pPr>
      <w:rPr>
        <w:rFonts w:ascii="Symbol" w:hAnsi="Symbol" w:hint="default"/>
        <w:b w:val="0"/>
        <w:bCs w:val="0"/>
        <w:i w:val="0"/>
        <w:iCs w:val="0"/>
        <w:caps w:val="0"/>
        <w:smallCaps w:val="0"/>
        <w:strike w:val="0"/>
        <w:dstrike w:val="0"/>
        <w:vanish w:val="0"/>
        <w:color w:val="FF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0"/>
        </w:tabs>
        <w:ind w:left="1440" w:hanging="360"/>
      </w:pPr>
      <w:rPr>
        <w:rFonts w:ascii="Wingdings" w:hAnsi="Wingdings"/>
        <w:color w:val="DD0015"/>
        <w:sz w:val="24"/>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3D3F47E1"/>
    <w:multiLevelType w:val="hybridMultilevel"/>
    <w:tmpl w:val="8F7CF7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1E34B1C"/>
    <w:multiLevelType w:val="hybridMultilevel"/>
    <w:tmpl w:val="6B3A31B2"/>
    <w:lvl w:ilvl="0" w:tplc="0AACA7AC">
      <w:start w:val="1"/>
      <w:numFmt w:val="bullet"/>
      <w:lvlText w:val=""/>
      <w:lvlJc w:val="left"/>
      <w:pPr>
        <w:ind w:left="1440" w:hanging="360"/>
      </w:pPr>
      <w:rPr>
        <w:rFonts w:ascii="Symbol" w:hAnsi="Symbol" w:cs="Symbol" w:hint="default"/>
        <w:b w:val="0"/>
        <w:bCs w:val="0"/>
        <w:i w:val="0"/>
        <w:iCs w:val="0"/>
        <w:caps w:val="0"/>
        <w:smallCaps w:val="0"/>
        <w:strike w:val="0"/>
        <w:dstrike w:val="0"/>
        <w:vanish w:val="0"/>
        <w:color w:val="E52236"/>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781874875">
    <w:abstractNumId w:val="0"/>
  </w:num>
  <w:num w:numId="2" w16cid:durableId="763956389">
    <w:abstractNumId w:val="1"/>
  </w:num>
  <w:num w:numId="3" w16cid:durableId="991370463">
    <w:abstractNumId w:val="2"/>
  </w:num>
  <w:num w:numId="4" w16cid:durableId="887298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34"/>
    <w:rsid w:val="00006623"/>
    <w:rsid w:val="000110DB"/>
    <w:rsid w:val="0001690E"/>
    <w:rsid w:val="00016E0D"/>
    <w:rsid w:val="00017926"/>
    <w:rsid w:val="00020D1C"/>
    <w:rsid w:val="0002293D"/>
    <w:rsid w:val="0002480C"/>
    <w:rsid w:val="00025840"/>
    <w:rsid w:val="00040E8F"/>
    <w:rsid w:val="00044E2B"/>
    <w:rsid w:val="0005207E"/>
    <w:rsid w:val="000845A9"/>
    <w:rsid w:val="00085868"/>
    <w:rsid w:val="000B09CB"/>
    <w:rsid w:val="000B318B"/>
    <w:rsid w:val="000B7AAA"/>
    <w:rsid w:val="000C356A"/>
    <w:rsid w:val="000D3A57"/>
    <w:rsid w:val="000D5148"/>
    <w:rsid w:val="000D768F"/>
    <w:rsid w:val="000E5516"/>
    <w:rsid w:val="000E7F02"/>
    <w:rsid w:val="000F51F6"/>
    <w:rsid w:val="00111E4E"/>
    <w:rsid w:val="00123FDD"/>
    <w:rsid w:val="00124276"/>
    <w:rsid w:val="0013030A"/>
    <w:rsid w:val="00131CFA"/>
    <w:rsid w:val="00134309"/>
    <w:rsid w:val="00142264"/>
    <w:rsid w:val="001442B8"/>
    <w:rsid w:val="00153EBE"/>
    <w:rsid w:val="001570E4"/>
    <w:rsid w:val="001662E3"/>
    <w:rsid w:val="001707C5"/>
    <w:rsid w:val="00174CDD"/>
    <w:rsid w:val="00176A07"/>
    <w:rsid w:val="00182FBE"/>
    <w:rsid w:val="00192A92"/>
    <w:rsid w:val="001936BE"/>
    <w:rsid w:val="001979E5"/>
    <w:rsid w:val="001A1326"/>
    <w:rsid w:val="001A4364"/>
    <w:rsid w:val="001C495A"/>
    <w:rsid w:val="001C4B06"/>
    <w:rsid w:val="001C58AC"/>
    <w:rsid w:val="001C78EB"/>
    <w:rsid w:val="001E472D"/>
    <w:rsid w:val="001F1EB5"/>
    <w:rsid w:val="001F50C2"/>
    <w:rsid w:val="001F7078"/>
    <w:rsid w:val="00201B14"/>
    <w:rsid w:val="00207E98"/>
    <w:rsid w:val="0021020E"/>
    <w:rsid w:val="00215CA8"/>
    <w:rsid w:val="00217071"/>
    <w:rsid w:val="00220115"/>
    <w:rsid w:val="002203DF"/>
    <w:rsid w:val="00235400"/>
    <w:rsid w:val="00240364"/>
    <w:rsid w:val="0024300B"/>
    <w:rsid w:val="002444FA"/>
    <w:rsid w:val="00250A47"/>
    <w:rsid w:val="002621D0"/>
    <w:rsid w:val="002633AE"/>
    <w:rsid w:val="00280BDC"/>
    <w:rsid w:val="00292194"/>
    <w:rsid w:val="002B17A7"/>
    <w:rsid w:val="002B1953"/>
    <w:rsid w:val="002B2A30"/>
    <w:rsid w:val="002B311E"/>
    <w:rsid w:val="002B7B96"/>
    <w:rsid w:val="002C0689"/>
    <w:rsid w:val="002C30A7"/>
    <w:rsid w:val="002D4347"/>
    <w:rsid w:val="002D6DF5"/>
    <w:rsid w:val="002D70E4"/>
    <w:rsid w:val="002D7722"/>
    <w:rsid w:val="002E0248"/>
    <w:rsid w:val="002E213C"/>
    <w:rsid w:val="00303A1D"/>
    <w:rsid w:val="00305011"/>
    <w:rsid w:val="00307587"/>
    <w:rsid w:val="00307B69"/>
    <w:rsid w:val="00320B4C"/>
    <w:rsid w:val="00326560"/>
    <w:rsid w:val="00334404"/>
    <w:rsid w:val="00344B75"/>
    <w:rsid w:val="00345E53"/>
    <w:rsid w:val="00354327"/>
    <w:rsid w:val="003604D7"/>
    <w:rsid w:val="00364796"/>
    <w:rsid w:val="0037204B"/>
    <w:rsid w:val="00374028"/>
    <w:rsid w:val="003754BB"/>
    <w:rsid w:val="003801F4"/>
    <w:rsid w:val="00380AFB"/>
    <w:rsid w:val="003813FE"/>
    <w:rsid w:val="00381975"/>
    <w:rsid w:val="00392506"/>
    <w:rsid w:val="00395188"/>
    <w:rsid w:val="003967DC"/>
    <w:rsid w:val="00396EFB"/>
    <w:rsid w:val="003A076E"/>
    <w:rsid w:val="003A4237"/>
    <w:rsid w:val="003A4749"/>
    <w:rsid w:val="003A7D51"/>
    <w:rsid w:val="003B55A4"/>
    <w:rsid w:val="003C43A1"/>
    <w:rsid w:val="003D29FE"/>
    <w:rsid w:val="003D309E"/>
    <w:rsid w:val="003E004C"/>
    <w:rsid w:val="003E16BF"/>
    <w:rsid w:val="003E579B"/>
    <w:rsid w:val="003F3AF4"/>
    <w:rsid w:val="003F68D1"/>
    <w:rsid w:val="00405481"/>
    <w:rsid w:val="0041289A"/>
    <w:rsid w:val="004264EE"/>
    <w:rsid w:val="00427064"/>
    <w:rsid w:val="00427202"/>
    <w:rsid w:val="00441E21"/>
    <w:rsid w:val="00453375"/>
    <w:rsid w:val="00464580"/>
    <w:rsid w:val="0047545C"/>
    <w:rsid w:val="004764E9"/>
    <w:rsid w:val="00483E47"/>
    <w:rsid w:val="004A1CBF"/>
    <w:rsid w:val="004A286A"/>
    <w:rsid w:val="004A31C0"/>
    <w:rsid w:val="004A43A0"/>
    <w:rsid w:val="004A7A2E"/>
    <w:rsid w:val="004B447C"/>
    <w:rsid w:val="004C0176"/>
    <w:rsid w:val="004C5B1D"/>
    <w:rsid w:val="004C7433"/>
    <w:rsid w:val="004C775C"/>
    <w:rsid w:val="004D38D0"/>
    <w:rsid w:val="004E6723"/>
    <w:rsid w:val="004F4549"/>
    <w:rsid w:val="005004C5"/>
    <w:rsid w:val="00502808"/>
    <w:rsid w:val="005046A9"/>
    <w:rsid w:val="00513191"/>
    <w:rsid w:val="00536E43"/>
    <w:rsid w:val="00546AD0"/>
    <w:rsid w:val="00550885"/>
    <w:rsid w:val="00557258"/>
    <w:rsid w:val="00566ADA"/>
    <w:rsid w:val="0057478D"/>
    <w:rsid w:val="00574BA6"/>
    <w:rsid w:val="00581EF9"/>
    <w:rsid w:val="00585C88"/>
    <w:rsid w:val="005A1825"/>
    <w:rsid w:val="005A39CC"/>
    <w:rsid w:val="005A7605"/>
    <w:rsid w:val="005B0B55"/>
    <w:rsid w:val="005B3660"/>
    <w:rsid w:val="005B5E2F"/>
    <w:rsid w:val="005C5852"/>
    <w:rsid w:val="005C71B0"/>
    <w:rsid w:val="005C777E"/>
    <w:rsid w:val="005E2283"/>
    <w:rsid w:val="005E3B9A"/>
    <w:rsid w:val="005E3C43"/>
    <w:rsid w:val="00606856"/>
    <w:rsid w:val="00607518"/>
    <w:rsid w:val="00615974"/>
    <w:rsid w:val="0062152D"/>
    <w:rsid w:val="00626532"/>
    <w:rsid w:val="00633034"/>
    <w:rsid w:val="0063624D"/>
    <w:rsid w:val="00637DFB"/>
    <w:rsid w:val="006726C5"/>
    <w:rsid w:val="00680838"/>
    <w:rsid w:val="006878E8"/>
    <w:rsid w:val="00687DC1"/>
    <w:rsid w:val="006916FA"/>
    <w:rsid w:val="00692941"/>
    <w:rsid w:val="00695152"/>
    <w:rsid w:val="006955C0"/>
    <w:rsid w:val="00697791"/>
    <w:rsid w:val="006A5492"/>
    <w:rsid w:val="006B7067"/>
    <w:rsid w:val="006C2882"/>
    <w:rsid w:val="006C3387"/>
    <w:rsid w:val="006C5024"/>
    <w:rsid w:val="006D4DE7"/>
    <w:rsid w:val="006E0C5F"/>
    <w:rsid w:val="006E18BB"/>
    <w:rsid w:val="006F1DC3"/>
    <w:rsid w:val="00717D87"/>
    <w:rsid w:val="007211DB"/>
    <w:rsid w:val="007325EE"/>
    <w:rsid w:val="00732CAD"/>
    <w:rsid w:val="0073359E"/>
    <w:rsid w:val="007418BC"/>
    <w:rsid w:val="00755D19"/>
    <w:rsid w:val="00763601"/>
    <w:rsid w:val="0076440E"/>
    <w:rsid w:val="00765897"/>
    <w:rsid w:val="00767D7E"/>
    <w:rsid w:val="007733B2"/>
    <w:rsid w:val="00773CE1"/>
    <w:rsid w:val="007743B0"/>
    <w:rsid w:val="007929D5"/>
    <w:rsid w:val="00792BE3"/>
    <w:rsid w:val="0079753D"/>
    <w:rsid w:val="007A15FF"/>
    <w:rsid w:val="007A2C2C"/>
    <w:rsid w:val="007A38BD"/>
    <w:rsid w:val="007E22B5"/>
    <w:rsid w:val="007E4E5C"/>
    <w:rsid w:val="007E61A6"/>
    <w:rsid w:val="007F1EBE"/>
    <w:rsid w:val="007F2926"/>
    <w:rsid w:val="00801226"/>
    <w:rsid w:val="00801ED5"/>
    <w:rsid w:val="00812BF3"/>
    <w:rsid w:val="0082035C"/>
    <w:rsid w:val="008230DE"/>
    <w:rsid w:val="00824DDF"/>
    <w:rsid w:val="0082521C"/>
    <w:rsid w:val="0082788B"/>
    <w:rsid w:val="00830070"/>
    <w:rsid w:val="008325ED"/>
    <w:rsid w:val="00835F12"/>
    <w:rsid w:val="008365C0"/>
    <w:rsid w:val="008405DF"/>
    <w:rsid w:val="00854BC9"/>
    <w:rsid w:val="00855F05"/>
    <w:rsid w:val="00876887"/>
    <w:rsid w:val="00891565"/>
    <w:rsid w:val="008939DB"/>
    <w:rsid w:val="008B1D7B"/>
    <w:rsid w:val="008B252A"/>
    <w:rsid w:val="008B2CE6"/>
    <w:rsid w:val="008B56DB"/>
    <w:rsid w:val="008E49F7"/>
    <w:rsid w:val="00900DA5"/>
    <w:rsid w:val="009026C6"/>
    <w:rsid w:val="00903C43"/>
    <w:rsid w:val="00907CDF"/>
    <w:rsid w:val="00920422"/>
    <w:rsid w:val="00922B3E"/>
    <w:rsid w:val="009327EE"/>
    <w:rsid w:val="00946612"/>
    <w:rsid w:val="00954104"/>
    <w:rsid w:val="00960DD3"/>
    <w:rsid w:val="0096209B"/>
    <w:rsid w:val="00962B31"/>
    <w:rsid w:val="00966FBA"/>
    <w:rsid w:val="00972AFB"/>
    <w:rsid w:val="009767F1"/>
    <w:rsid w:val="00977113"/>
    <w:rsid w:val="00984BE8"/>
    <w:rsid w:val="00992A1C"/>
    <w:rsid w:val="0099622D"/>
    <w:rsid w:val="009A02DD"/>
    <w:rsid w:val="009A441E"/>
    <w:rsid w:val="009B0F47"/>
    <w:rsid w:val="009B2106"/>
    <w:rsid w:val="009B73AE"/>
    <w:rsid w:val="009B79D5"/>
    <w:rsid w:val="009D2669"/>
    <w:rsid w:val="009D417A"/>
    <w:rsid w:val="009E5038"/>
    <w:rsid w:val="009F0E41"/>
    <w:rsid w:val="00A103BA"/>
    <w:rsid w:val="00A107CE"/>
    <w:rsid w:val="00A1208F"/>
    <w:rsid w:val="00A15965"/>
    <w:rsid w:val="00A30083"/>
    <w:rsid w:val="00A327F8"/>
    <w:rsid w:val="00A34A60"/>
    <w:rsid w:val="00A369E2"/>
    <w:rsid w:val="00A5402F"/>
    <w:rsid w:val="00A54B36"/>
    <w:rsid w:val="00A7216D"/>
    <w:rsid w:val="00A756EA"/>
    <w:rsid w:val="00A81C6D"/>
    <w:rsid w:val="00A9268D"/>
    <w:rsid w:val="00A92D27"/>
    <w:rsid w:val="00AA017F"/>
    <w:rsid w:val="00AA4A1F"/>
    <w:rsid w:val="00AD2373"/>
    <w:rsid w:val="00AD2C6A"/>
    <w:rsid w:val="00AD5881"/>
    <w:rsid w:val="00AE7B05"/>
    <w:rsid w:val="00AF6F56"/>
    <w:rsid w:val="00B0195D"/>
    <w:rsid w:val="00B042FD"/>
    <w:rsid w:val="00B07C96"/>
    <w:rsid w:val="00B30E28"/>
    <w:rsid w:val="00B332ED"/>
    <w:rsid w:val="00B359B3"/>
    <w:rsid w:val="00B36B8E"/>
    <w:rsid w:val="00B44050"/>
    <w:rsid w:val="00B47441"/>
    <w:rsid w:val="00B514B4"/>
    <w:rsid w:val="00B73EF6"/>
    <w:rsid w:val="00B77ED8"/>
    <w:rsid w:val="00B83D72"/>
    <w:rsid w:val="00B86F6F"/>
    <w:rsid w:val="00B959C1"/>
    <w:rsid w:val="00BB3827"/>
    <w:rsid w:val="00BB3D50"/>
    <w:rsid w:val="00BB49F6"/>
    <w:rsid w:val="00BC1DB8"/>
    <w:rsid w:val="00BD2044"/>
    <w:rsid w:val="00BD461B"/>
    <w:rsid w:val="00BD513F"/>
    <w:rsid w:val="00BD5DB8"/>
    <w:rsid w:val="00BD61F4"/>
    <w:rsid w:val="00BF2B74"/>
    <w:rsid w:val="00BF4B45"/>
    <w:rsid w:val="00BF6C37"/>
    <w:rsid w:val="00C1550B"/>
    <w:rsid w:val="00C244DE"/>
    <w:rsid w:val="00C44711"/>
    <w:rsid w:val="00C50AC2"/>
    <w:rsid w:val="00C60388"/>
    <w:rsid w:val="00C71257"/>
    <w:rsid w:val="00C751C8"/>
    <w:rsid w:val="00C75F1B"/>
    <w:rsid w:val="00C9530B"/>
    <w:rsid w:val="00C9699A"/>
    <w:rsid w:val="00C9723B"/>
    <w:rsid w:val="00CB2245"/>
    <w:rsid w:val="00CB3233"/>
    <w:rsid w:val="00CB607E"/>
    <w:rsid w:val="00CC2267"/>
    <w:rsid w:val="00CC4757"/>
    <w:rsid w:val="00CD002F"/>
    <w:rsid w:val="00CD1898"/>
    <w:rsid w:val="00CE2866"/>
    <w:rsid w:val="00CE567D"/>
    <w:rsid w:val="00CF3E20"/>
    <w:rsid w:val="00CF4116"/>
    <w:rsid w:val="00CF66C7"/>
    <w:rsid w:val="00D007F9"/>
    <w:rsid w:val="00D03A9D"/>
    <w:rsid w:val="00D07296"/>
    <w:rsid w:val="00D13702"/>
    <w:rsid w:val="00D16F18"/>
    <w:rsid w:val="00D25786"/>
    <w:rsid w:val="00D31A97"/>
    <w:rsid w:val="00D35354"/>
    <w:rsid w:val="00D37D4B"/>
    <w:rsid w:val="00D54910"/>
    <w:rsid w:val="00D57E0A"/>
    <w:rsid w:val="00D63D33"/>
    <w:rsid w:val="00D71CF6"/>
    <w:rsid w:val="00D90E35"/>
    <w:rsid w:val="00D910DC"/>
    <w:rsid w:val="00D93300"/>
    <w:rsid w:val="00DA1EAA"/>
    <w:rsid w:val="00DB780A"/>
    <w:rsid w:val="00DC17E7"/>
    <w:rsid w:val="00DC7CFE"/>
    <w:rsid w:val="00DD30AE"/>
    <w:rsid w:val="00DD30EC"/>
    <w:rsid w:val="00DE0436"/>
    <w:rsid w:val="00DE04BF"/>
    <w:rsid w:val="00DE06AB"/>
    <w:rsid w:val="00DE4B27"/>
    <w:rsid w:val="00DF1383"/>
    <w:rsid w:val="00DF28B3"/>
    <w:rsid w:val="00E006A7"/>
    <w:rsid w:val="00E0071D"/>
    <w:rsid w:val="00E05CC2"/>
    <w:rsid w:val="00E2658E"/>
    <w:rsid w:val="00E34EB3"/>
    <w:rsid w:val="00E37CB0"/>
    <w:rsid w:val="00E43230"/>
    <w:rsid w:val="00E43864"/>
    <w:rsid w:val="00E51D03"/>
    <w:rsid w:val="00E52F1E"/>
    <w:rsid w:val="00E55A24"/>
    <w:rsid w:val="00E62EF5"/>
    <w:rsid w:val="00E660C1"/>
    <w:rsid w:val="00E71D2B"/>
    <w:rsid w:val="00E7240B"/>
    <w:rsid w:val="00E95742"/>
    <w:rsid w:val="00E96154"/>
    <w:rsid w:val="00EA04AA"/>
    <w:rsid w:val="00EC061A"/>
    <w:rsid w:val="00EC24FA"/>
    <w:rsid w:val="00ED3E68"/>
    <w:rsid w:val="00EE115B"/>
    <w:rsid w:val="00EE1835"/>
    <w:rsid w:val="00EE69ED"/>
    <w:rsid w:val="00EF580C"/>
    <w:rsid w:val="00F00C5A"/>
    <w:rsid w:val="00F04DE0"/>
    <w:rsid w:val="00F06031"/>
    <w:rsid w:val="00F11809"/>
    <w:rsid w:val="00F13374"/>
    <w:rsid w:val="00F34A19"/>
    <w:rsid w:val="00F401B4"/>
    <w:rsid w:val="00F41FCE"/>
    <w:rsid w:val="00F42ECB"/>
    <w:rsid w:val="00F431F5"/>
    <w:rsid w:val="00F55197"/>
    <w:rsid w:val="00F57474"/>
    <w:rsid w:val="00F57E3C"/>
    <w:rsid w:val="00F60935"/>
    <w:rsid w:val="00F61AB9"/>
    <w:rsid w:val="00F75325"/>
    <w:rsid w:val="00F83D4C"/>
    <w:rsid w:val="00F90AEB"/>
    <w:rsid w:val="00F92076"/>
    <w:rsid w:val="00FA0FCA"/>
    <w:rsid w:val="00FA2FBF"/>
    <w:rsid w:val="00FA5398"/>
    <w:rsid w:val="00FA7E05"/>
    <w:rsid w:val="00FB7B9C"/>
    <w:rsid w:val="00FC27CD"/>
    <w:rsid w:val="00FC46F6"/>
    <w:rsid w:val="00FD2BE6"/>
    <w:rsid w:val="00FD4FAC"/>
    <w:rsid w:val="00FE09D3"/>
    <w:rsid w:val="00FE1E55"/>
    <w:rsid w:val="00FE23A1"/>
    <w:rsid w:val="00FE3DF7"/>
    <w:rsid w:val="00FE5256"/>
    <w:rsid w:val="00FF171B"/>
    <w:rsid w:val="00FF20F4"/>
    <w:rsid w:val="0129139E"/>
    <w:rsid w:val="03529A9E"/>
    <w:rsid w:val="050E631B"/>
    <w:rsid w:val="0523345F"/>
    <w:rsid w:val="0685E48F"/>
    <w:rsid w:val="079E9CAA"/>
    <w:rsid w:val="08007576"/>
    <w:rsid w:val="09C0C72C"/>
    <w:rsid w:val="09E430A4"/>
    <w:rsid w:val="0AB42A66"/>
    <w:rsid w:val="0AD7D204"/>
    <w:rsid w:val="0D75C5A5"/>
    <w:rsid w:val="0DB62DDD"/>
    <w:rsid w:val="0E39E2D9"/>
    <w:rsid w:val="0E5D612C"/>
    <w:rsid w:val="0F32B5B4"/>
    <w:rsid w:val="0F6BE8EA"/>
    <w:rsid w:val="104ED3F1"/>
    <w:rsid w:val="107CE454"/>
    <w:rsid w:val="12845D6E"/>
    <w:rsid w:val="1519AC61"/>
    <w:rsid w:val="15BC87DC"/>
    <w:rsid w:val="16A5FFF9"/>
    <w:rsid w:val="183ADFEE"/>
    <w:rsid w:val="19315C7B"/>
    <w:rsid w:val="1A434246"/>
    <w:rsid w:val="1ACCCB10"/>
    <w:rsid w:val="1BDD11A6"/>
    <w:rsid w:val="1C1CB1BF"/>
    <w:rsid w:val="1C9FF433"/>
    <w:rsid w:val="1D660F2A"/>
    <w:rsid w:val="1E817F92"/>
    <w:rsid w:val="1E8A0487"/>
    <w:rsid w:val="20DEA5A7"/>
    <w:rsid w:val="2242A75B"/>
    <w:rsid w:val="23654BDE"/>
    <w:rsid w:val="23A81FDC"/>
    <w:rsid w:val="23A8A0C5"/>
    <w:rsid w:val="2408CD31"/>
    <w:rsid w:val="26E74271"/>
    <w:rsid w:val="28607922"/>
    <w:rsid w:val="28754A66"/>
    <w:rsid w:val="29155BFC"/>
    <w:rsid w:val="2A50D3B5"/>
    <w:rsid w:val="2B096018"/>
    <w:rsid w:val="2CB5AECE"/>
    <w:rsid w:val="2CD8A6B2"/>
    <w:rsid w:val="2D26350E"/>
    <w:rsid w:val="2EA3C360"/>
    <w:rsid w:val="32675A4C"/>
    <w:rsid w:val="348D45B7"/>
    <w:rsid w:val="390AAEEC"/>
    <w:rsid w:val="3AF06DA2"/>
    <w:rsid w:val="3C689D82"/>
    <w:rsid w:val="3CE5E9C3"/>
    <w:rsid w:val="3EDE547B"/>
    <w:rsid w:val="44CC3189"/>
    <w:rsid w:val="455D053B"/>
    <w:rsid w:val="4DDB3DB3"/>
    <w:rsid w:val="4E243EE1"/>
    <w:rsid w:val="4F31CB26"/>
    <w:rsid w:val="50116B26"/>
    <w:rsid w:val="50616892"/>
    <w:rsid w:val="521F5318"/>
    <w:rsid w:val="53C18CB8"/>
    <w:rsid w:val="543A9296"/>
    <w:rsid w:val="55DEAA03"/>
    <w:rsid w:val="567B7ADD"/>
    <w:rsid w:val="56AAB27C"/>
    <w:rsid w:val="5813FAE9"/>
    <w:rsid w:val="58E9C9DD"/>
    <w:rsid w:val="593FDE35"/>
    <w:rsid w:val="5A98C6EE"/>
    <w:rsid w:val="5DC54375"/>
    <w:rsid w:val="5F8F9E68"/>
    <w:rsid w:val="619E16D3"/>
    <w:rsid w:val="638CF4DC"/>
    <w:rsid w:val="64107F33"/>
    <w:rsid w:val="65C7F66E"/>
    <w:rsid w:val="666FA598"/>
    <w:rsid w:val="6AF90938"/>
    <w:rsid w:val="6BC392CC"/>
    <w:rsid w:val="6C37BCA7"/>
    <w:rsid w:val="6CEEB1C4"/>
    <w:rsid w:val="6D0F1924"/>
    <w:rsid w:val="6D59DF07"/>
    <w:rsid w:val="6E3A2960"/>
    <w:rsid w:val="6EF68948"/>
    <w:rsid w:val="70FB1FE1"/>
    <w:rsid w:val="71CCB7CA"/>
    <w:rsid w:val="72566B3A"/>
    <w:rsid w:val="7547231F"/>
    <w:rsid w:val="7694DB64"/>
    <w:rsid w:val="76F10CC4"/>
    <w:rsid w:val="78F97BA5"/>
    <w:rsid w:val="79C089E3"/>
    <w:rsid w:val="79DE846E"/>
    <w:rsid w:val="7AE7903B"/>
    <w:rsid w:val="7BE6D7B7"/>
    <w:rsid w:val="7C762023"/>
    <w:rsid w:val="7C799167"/>
    <w:rsid w:val="7D112C57"/>
    <w:rsid w:val="7F9050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A248"/>
  <w15:docId w15:val="{911D9B80-675B-44C6-94EB-7C749538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280" w:lineRule="atLeast"/>
      <w:ind w:firstLine="567"/>
      <w:jc w:val="both"/>
    </w:pPr>
    <w:rPr>
      <w:rFonts w:ascii="Graphik LCG Light" w:eastAsia="SimSun" w:hAnsi="Graphik LCG Light" w:cs="font233"/>
      <w:color w:val="000000"/>
      <w:spacing w:val="4"/>
      <w:sz w:val="21"/>
      <w:szCs w:val="24"/>
      <w:lang w:val="de-DE" w:eastAsia="ar-SA"/>
    </w:rPr>
  </w:style>
  <w:style w:type="paragraph" w:styleId="berschrift1">
    <w:name w:val="heading 1"/>
    <w:basedOn w:val="Standard"/>
    <w:next w:val="Textkrper"/>
    <w:qFormat/>
    <w:pPr>
      <w:keepNext/>
      <w:keepLines/>
      <w:numPr>
        <w:numId w:val="1"/>
      </w:numPr>
      <w:spacing w:after="60" w:line="320" w:lineRule="exact"/>
      <w:jc w:val="left"/>
      <w:outlineLvl w:val="0"/>
    </w:pPr>
    <w:rPr>
      <w:color w:val="E52236"/>
      <w:spacing w:val="0"/>
      <w:sz w:val="28"/>
      <w:szCs w:val="32"/>
    </w:rPr>
  </w:style>
  <w:style w:type="paragraph" w:styleId="berschrift2">
    <w:name w:val="heading 2"/>
    <w:basedOn w:val="berschrift1"/>
    <w:next w:val="Textkrper"/>
    <w:qFormat/>
    <w:pPr>
      <w:numPr>
        <w:ilvl w:val="1"/>
      </w:numPr>
      <w:spacing w:line="280" w:lineRule="exact"/>
      <w:outlineLvl w:val="1"/>
    </w:pPr>
    <w:rPr>
      <w:caps/>
      <w:sz w:val="21"/>
      <w:szCs w:val="26"/>
    </w:rPr>
  </w:style>
  <w:style w:type="paragraph" w:styleId="berschrift3">
    <w:name w:val="heading 3"/>
    <w:basedOn w:val="berschrift2"/>
    <w:next w:val="Textkrper"/>
    <w:qFormat/>
    <w:pPr>
      <w:numPr>
        <w:ilvl w:val="2"/>
      </w:numPr>
      <w:outlineLvl w:val="2"/>
    </w:pPr>
    <w:rPr>
      <w:bCs/>
      <w:caps w:val="0"/>
      <w:color w:val="000000"/>
    </w:rPr>
  </w:style>
  <w:style w:type="paragraph" w:styleId="berschrift4">
    <w:name w:val="heading 4"/>
    <w:basedOn w:val="Standard"/>
    <w:next w:val="Textkrper"/>
    <w:qFormat/>
    <w:pPr>
      <w:keepNext/>
      <w:keepLines/>
      <w:numPr>
        <w:ilvl w:val="3"/>
        <w:numId w:val="1"/>
      </w:numPr>
      <w:spacing w:before="40"/>
      <w:outlineLvl w:val="3"/>
    </w:pPr>
    <w:rPr>
      <w:color w:val="E52236"/>
    </w:rPr>
  </w:style>
  <w:style w:type="paragraph" w:styleId="berschrift5">
    <w:name w:val="heading 5"/>
    <w:basedOn w:val="Standard"/>
    <w:next w:val="Textkrper"/>
    <w:qFormat/>
    <w:pPr>
      <w:keepNext/>
      <w:keepLines/>
      <w:numPr>
        <w:ilvl w:val="4"/>
        <w:numId w:val="1"/>
      </w:numPr>
      <w:spacing w:before="40"/>
      <w:outlineLvl w:val="4"/>
    </w:pPr>
    <w:rPr>
      <w:rFonts w:ascii="Arial" w:hAnsi="Arial"/>
      <w:color w:val="AF1424"/>
    </w:rPr>
  </w:style>
  <w:style w:type="paragraph" w:styleId="berschrift6">
    <w:name w:val="heading 6"/>
    <w:basedOn w:val="Standard"/>
    <w:next w:val="Textkrper"/>
    <w:qFormat/>
    <w:pPr>
      <w:keepNext/>
      <w:keepLines/>
      <w:numPr>
        <w:ilvl w:val="5"/>
        <w:numId w:val="1"/>
      </w:numPr>
      <w:spacing w:before="40"/>
      <w:outlineLvl w:val="5"/>
    </w:pPr>
    <w:rPr>
      <w:rFonts w:ascii="Arial" w:hAnsi="Arial"/>
      <w:color w:val="740D18"/>
    </w:rPr>
  </w:style>
  <w:style w:type="paragraph" w:styleId="berschrift7">
    <w:name w:val="heading 7"/>
    <w:basedOn w:val="Standard"/>
    <w:next w:val="Textkrper"/>
    <w:qFormat/>
    <w:pPr>
      <w:keepNext/>
      <w:keepLines/>
      <w:numPr>
        <w:ilvl w:val="6"/>
        <w:numId w:val="1"/>
      </w:numPr>
      <w:spacing w:before="40"/>
      <w:outlineLvl w:val="6"/>
    </w:pPr>
    <w:rPr>
      <w:rFonts w:ascii="Arial" w:hAnsi="Arial"/>
      <w:i/>
      <w:iCs/>
      <w:color w:val="740D18"/>
    </w:rPr>
  </w:style>
  <w:style w:type="paragraph" w:styleId="berschrift8">
    <w:name w:val="heading 8"/>
    <w:basedOn w:val="Standard"/>
    <w:next w:val="Textkrper"/>
    <w:qFormat/>
    <w:pPr>
      <w:keepNext/>
      <w:keepLines/>
      <w:numPr>
        <w:ilvl w:val="7"/>
        <w:numId w:val="1"/>
      </w:numPr>
      <w:spacing w:before="40"/>
      <w:outlineLvl w:val="7"/>
    </w:pPr>
    <w:rPr>
      <w:rFonts w:ascii="Arial" w:hAnsi="Arial"/>
      <w:color w:val="272727"/>
      <w:szCs w:val="21"/>
    </w:rPr>
  </w:style>
  <w:style w:type="paragraph" w:styleId="berschrift9">
    <w:name w:val="heading 9"/>
    <w:basedOn w:val="Standard"/>
    <w:next w:val="Textkrper"/>
    <w:qFormat/>
    <w:pPr>
      <w:keepNext/>
      <w:keepLines/>
      <w:numPr>
        <w:ilvl w:val="8"/>
        <w:numId w:val="1"/>
      </w:numPr>
      <w:spacing w:before="40"/>
      <w:outlineLvl w:val="8"/>
    </w:pPr>
    <w:rPr>
      <w:rFonts w:ascii="Arial" w:hAnsi="Arial"/>
      <w:i/>
      <w:iCs/>
      <w:color w:val="27272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art10">
    <w:name w:val="Absatz-Standardschriftart10"/>
  </w:style>
  <w:style w:type="character" w:customStyle="1" w:styleId="berschrift1Zchn">
    <w:name w:val="Überschrift 1 Zchn"/>
    <w:rPr>
      <w:rFonts w:ascii="Graphik LCG Light" w:hAnsi="Graphik LCG Light" w:cs="font233"/>
      <w:color w:val="E52236"/>
      <w:sz w:val="28"/>
      <w:szCs w:val="32"/>
    </w:rPr>
  </w:style>
  <w:style w:type="character" w:customStyle="1" w:styleId="KopfzeileZchn">
    <w:name w:val="Kopfzeile Zchn"/>
    <w:rPr>
      <w:rFonts w:ascii="Graphik LCG Light" w:hAnsi="Graphik LCG Light"/>
      <w:caps/>
      <w:color w:val="000000"/>
      <w:spacing w:val="6"/>
      <w:sz w:val="16"/>
    </w:rPr>
  </w:style>
  <w:style w:type="character" w:customStyle="1" w:styleId="FuzeileZchn">
    <w:name w:val="Fußzeile Zchn"/>
    <w:rPr>
      <w:rFonts w:ascii="Graphik LCG Light" w:hAnsi="Graphik LCG Light"/>
      <w:color w:val="E52236"/>
      <w:spacing w:val="4"/>
    </w:rPr>
  </w:style>
  <w:style w:type="character" w:customStyle="1" w:styleId="SprechblasentextZchn">
    <w:name w:val="Sprechblasentext Zchn"/>
    <w:rPr>
      <w:rFonts w:ascii="Times New Roman" w:hAnsi="Times New Roman" w:cs="Times New Roman"/>
      <w:color w:val="000000"/>
      <w:spacing w:val="4"/>
      <w:sz w:val="18"/>
      <w:szCs w:val="18"/>
    </w:rPr>
  </w:style>
  <w:style w:type="character" w:customStyle="1" w:styleId="FunotentextZchn">
    <w:name w:val="Fußnotentext Zchn"/>
    <w:rPr>
      <w:rFonts w:ascii="Graphik LCG" w:hAnsi="Graphik LCG"/>
      <w:color w:val="000000"/>
      <w:spacing w:val="4"/>
      <w:sz w:val="13"/>
    </w:rPr>
  </w:style>
  <w:style w:type="character" w:customStyle="1" w:styleId="Funotenzeichen1">
    <w:name w:val="Fußnotenzeichen1"/>
    <w:rPr>
      <w:rFonts w:ascii="Graphik LCG Light" w:hAnsi="Graphik LCG Light"/>
      <w:b w:val="0"/>
      <w:bCs w:val="0"/>
      <w:i w:val="0"/>
      <w:iCs w:val="0"/>
      <w:sz w:val="16"/>
      <w:vertAlign w:val="superscript"/>
    </w:rPr>
  </w:style>
  <w:style w:type="character" w:customStyle="1" w:styleId="berschrift2Zchn">
    <w:name w:val="Überschrift 2 Zchn"/>
    <w:rPr>
      <w:rFonts w:ascii="Graphik LCG Light" w:hAnsi="Graphik LCG Light" w:cs="font233"/>
      <w:caps/>
      <w:color w:val="E52236"/>
      <w:sz w:val="21"/>
      <w:szCs w:val="26"/>
    </w:rPr>
  </w:style>
  <w:style w:type="character" w:customStyle="1" w:styleId="berschrift3Zchn">
    <w:name w:val="Überschrift 3 Zchn"/>
    <w:rPr>
      <w:rFonts w:ascii="Graphik LCG Light" w:hAnsi="Graphik LCG Light" w:cs="font233"/>
      <w:bCs/>
      <w:color w:val="000000"/>
      <w:sz w:val="21"/>
      <w:szCs w:val="26"/>
    </w:rPr>
  </w:style>
  <w:style w:type="character" w:styleId="Hyperlink">
    <w:name w:val="Hyperlink"/>
    <w:semiHidden/>
    <w:rPr>
      <w:rFonts w:ascii="Graphik LCG Light" w:hAnsi="Graphik LCG Light"/>
      <w:b w:val="0"/>
      <w:bCs w:val="0"/>
      <w:i w:val="0"/>
      <w:iCs w:val="0"/>
      <w:color w:val="E52236"/>
      <w:sz w:val="21"/>
      <w:u w:val="single"/>
    </w:rPr>
  </w:style>
  <w:style w:type="character" w:customStyle="1" w:styleId="berschrift4Zchn">
    <w:name w:val="Überschrift 4 Zchn"/>
    <w:rPr>
      <w:rFonts w:ascii="Graphik LCG Light" w:hAnsi="Graphik LCG Light" w:cs="font233"/>
      <w:color w:val="E52236"/>
      <w:spacing w:val="4"/>
      <w:sz w:val="18"/>
    </w:rPr>
  </w:style>
  <w:style w:type="character" w:customStyle="1" w:styleId="berschrift5Zchn">
    <w:name w:val="Überschrift 5 Zchn"/>
    <w:rPr>
      <w:rFonts w:ascii="Arial" w:hAnsi="Arial" w:cs="font233"/>
      <w:color w:val="AF1424"/>
      <w:spacing w:val="4"/>
      <w:sz w:val="18"/>
    </w:rPr>
  </w:style>
  <w:style w:type="character" w:customStyle="1" w:styleId="berschrift6Zchn">
    <w:name w:val="Überschrift 6 Zchn"/>
    <w:rPr>
      <w:rFonts w:ascii="Arial" w:hAnsi="Arial" w:cs="font233"/>
      <w:color w:val="740D18"/>
      <w:spacing w:val="4"/>
      <w:sz w:val="18"/>
    </w:rPr>
  </w:style>
  <w:style w:type="character" w:customStyle="1" w:styleId="berschrift7Zchn">
    <w:name w:val="Überschrift 7 Zchn"/>
    <w:rPr>
      <w:rFonts w:ascii="Arial" w:hAnsi="Arial" w:cs="font233"/>
      <w:i/>
      <w:iCs/>
      <w:color w:val="740D18"/>
      <w:spacing w:val="4"/>
      <w:sz w:val="18"/>
    </w:rPr>
  </w:style>
  <w:style w:type="character" w:customStyle="1" w:styleId="berschrift8Zchn">
    <w:name w:val="Überschrift 8 Zchn"/>
    <w:rPr>
      <w:rFonts w:ascii="Arial" w:hAnsi="Arial" w:cs="font233"/>
      <w:color w:val="272727"/>
      <w:spacing w:val="4"/>
      <w:sz w:val="21"/>
      <w:szCs w:val="21"/>
    </w:rPr>
  </w:style>
  <w:style w:type="character" w:customStyle="1" w:styleId="berschrift9Zchn">
    <w:name w:val="Überschrift 9 Zchn"/>
    <w:rPr>
      <w:rFonts w:ascii="Arial" w:hAnsi="Arial" w:cs="font233"/>
      <w:i/>
      <w:iCs/>
      <w:color w:val="272727"/>
      <w:spacing w:val="4"/>
      <w:sz w:val="21"/>
      <w:szCs w:val="21"/>
    </w:rPr>
  </w:style>
  <w:style w:type="character" w:styleId="Hervorhebung">
    <w:name w:val="Emphasis"/>
    <w:qFormat/>
    <w:rPr>
      <w:rFonts w:ascii="Graphik LCG Light" w:hAnsi="Graphik LCG Light"/>
      <w:b w:val="0"/>
      <w:i w:val="0"/>
      <w:iCs/>
      <w:color w:val="E52236"/>
      <w:sz w:val="21"/>
      <w:u w:val="none"/>
    </w:rPr>
  </w:style>
  <w:style w:type="character" w:customStyle="1" w:styleId="Platzhaltertext1">
    <w:name w:val="Platzhaltertext1"/>
    <w:rPr>
      <w:color w:val="808080"/>
    </w:rPr>
  </w:style>
  <w:style w:type="character" w:customStyle="1" w:styleId="TextkrperZchn">
    <w:name w:val="Textkörper Zchn"/>
    <w:rPr>
      <w:rFonts w:ascii="Arial" w:eastAsia="SimSun" w:hAnsi="Arial" w:cs="Angsana New"/>
      <w:iCs/>
      <w:lang w:val="de-AT" w:eastAsia="th-TH" w:bidi="th-TH"/>
    </w:rPr>
  </w:style>
  <w:style w:type="character" w:customStyle="1" w:styleId="Kommentarzeichen1">
    <w:name w:val="Kommentarzeichen1"/>
    <w:rPr>
      <w:sz w:val="16"/>
      <w:szCs w:val="16"/>
    </w:rPr>
  </w:style>
  <w:style w:type="character" w:customStyle="1" w:styleId="KommentartextZchn">
    <w:name w:val="Kommentartext Zchn"/>
    <w:rPr>
      <w:rFonts w:ascii="Graphik LCG Light" w:hAnsi="Graphik LCG Light"/>
      <w:color w:val="000000"/>
      <w:spacing w:val="4"/>
      <w:sz w:val="20"/>
      <w:szCs w:val="20"/>
    </w:rPr>
  </w:style>
  <w:style w:type="character" w:customStyle="1" w:styleId="KommentarthemaZchn">
    <w:name w:val="Kommentarthema Zchn"/>
    <w:rPr>
      <w:rFonts w:ascii="Graphik LCG Light" w:hAnsi="Graphik LCG Light"/>
      <w:b/>
      <w:bCs/>
      <w:color w:val="000000"/>
      <w:spacing w:val="4"/>
      <w:sz w:val="20"/>
      <w:szCs w:val="20"/>
    </w:rPr>
  </w:style>
  <w:style w:type="character" w:customStyle="1" w:styleId="ListLabel1">
    <w:name w:val="ListLabel 1"/>
    <w:rPr>
      <w:b w:val="0"/>
      <w:i w:val="0"/>
      <w:color w:val="C00000"/>
      <w:sz w:val="18"/>
    </w:rPr>
  </w:style>
  <w:style w:type="character" w:customStyle="1" w:styleId="ListLabel2">
    <w:name w:val="ListLabel 2"/>
    <w:rPr>
      <w:b w:val="0"/>
      <w:i w:val="0"/>
      <w:color w:val="E52236"/>
      <w:sz w:val="18"/>
    </w:rPr>
  </w:style>
  <w:style w:type="character" w:customStyle="1" w:styleId="ListLabel3">
    <w:name w:val="ListLabel 3"/>
    <w:rPr>
      <w:rFonts w:cs="Courier New"/>
    </w:rPr>
  </w:style>
  <w:style w:type="character" w:customStyle="1" w:styleId="ListLabel4">
    <w:name w:val="ListLabel 4"/>
    <w:rPr>
      <w:color w:val="E52236"/>
    </w:rPr>
  </w:style>
  <w:style w:type="character" w:customStyle="1" w:styleId="ListLabel5">
    <w:name w:val="ListLabel 5"/>
    <w:rPr>
      <w:color w:val="DD0015"/>
      <w:sz w:val="24"/>
    </w:rPr>
  </w:style>
  <w:style w:type="character" w:customStyle="1" w:styleId="ListLabel6">
    <w:name w:val="ListLabel 6"/>
    <w:rPr>
      <w:b w:val="0"/>
      <w:i w:val="0"/>
      <w:caps w:val="0"/>
      <w:smallCaps w:val="0"/>
      <w:strike w:val="0"/>
      <w:dstrike w:val="0"/>
      <w:vanish w:val="0"/>
      <w:color w:val="FF0000"/>
      <w:spacing w:val="0"/>
      <w:kern w:val="1"/>
      <w:position w:val="0"/>
      <w:sz w:val="24"/>
      <w:u w:val="none"/>
      <w:effect w:val="none"/>
      <w:vertAlign w:val="baseline"/>
      <w:em w:val="none"/>
    </w:rPr>
  </w:style>
  <w:style w:type="character" w:customStyle="1" w:styleId="ListLabel7">
    <w:name w:val="ListLabel 7"/>
    <w:rPr>
      <w:b w:val="0"/>
      <w:i w:val="0"/>
      <w:caps w:val="0"/>
      <w:smallCaps w:val="0"/>
      <w:strike w:val="0"/>
      <w:dstrike w:val="0"/>
      <w:vanish w:val="0"/>
      <w:color w:val="E52236"/>
      <w:spacing w:val="0"/>
      <w:kern w:val="1"/>
      <w:position w:val="0"/>
      <w:sz w:val="24"/>
      <w:u w:val="none"/>
      <w:effect w:val="none"/>
      <w:vertAlign w:val="baseline"/>
      <w:em w:val="none"/>
    </w:rPr>
  </w:style>
  <w:style w:type="character" w:customStyle="1" w:styleId="SprechblasentextZchn1">
    <w:name w:val="Sprechblasentext Zchn1"/>
    <w:basedOn w:val="Absatz-Standardschriftart1"/>
    <w:rPr>
      <w:rFonts w:ascii="Segoe UI" w:eastAsia="SimSun" w:hAnsi="Segoe UI" w:cs="Segoe UI"/>
      <w:color w:val="000000"/>
      <w:spacing w:val="4"/>
      <w:sz w:val="18"/>
      <w:szCs w:val="18"/>
      <w:lang w:val="de-DE"/>
    </w:rPr>
  </w:style>
  <w:style w:type="character" w:customStyle="1" w:styleId="ListLabel8">
    <w:name w:val="ListLabel 8"/>
    <w:rPr>
      <w:color w:val="E52236"/>
    </w:rPr>
  </w:style>
  <w:style w:type="character" w:customStyle="1" w:styleId="ListLabel9">
    <w:name w:val="ListLabel 9"/>
    <w:rPr>
      <w:b w:val="0"/>
      <w:i w:val="0"/>
      <w:caps w:val="0"/>
      <w:smallCaps w:val="0"/>
      <w:strike w:val="0"/>
      <w:dstrike w:val="0"/>
      <w:vanish w:val="0"/>
      <w:color w:val="000000"/>
      <w:spacing w:val="0"/>
      <w:kern w:val="1"/>
      <w:position w:val="0"/>
      <w:sz w:val="24"/>
      <w:u w:val="none"/>
      <w:effect w:val="none"/>
      <w:vertAlign w:val="baseline"/>
      <w:em w:val="none"/>
    </w:rPr>
  </w:style>
  <w:style w:type="character" w:customStyle="1" w:styleId="ListLabel10">
    <w:name w:val="ListLabel 10"/>
    <w:rPr>
      <w:color w:val="DD0015"/>
      <w:sz w:val="24"/>
    </w:rPr>
  </w:style>
  <w:style w:type="character" w:customStyle="1" w:styleId="ListLabel11">
    <w:name w:val="ListLabel 11"/>
    <w:rPr>
      <w:rFonts w:cs="Courier New"/>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semiHidden/>
    <w:pPr>
      <w:spacing w:before="100" w:after="100" w:line="100" w:lineRule="atLeast"/>
      <w:ind w:left="357" w:firstLine="0"/>
      <w:jc w:val="left"/>
    </w:pPr>
    <w:rPr>
      <w:rFonts w:ascii="Arial" w:hAnsi="Arial" w:cs="Angsana New"/>
      <w:iCs/>
      <w:color w:val="00000A"/>
      <w:spacing w:val="0"/>
      <w:sz w:val="24"/>
      <w:lang w:val="de-AT" w:eastAsia="th-TH" w:bidi="th-TH"/>
    </w:rPr>
  </w:style>
  <w:style w:type="paragraph" w:styleId="Liste">
    <w:name w:val="List"/>
    <w:basedOn w:val="Textkrper"/>
    <w:semiHidden/>
    <w:rPr>
      <w:rFonts w:cs="Lucida Sans"/>
    </w:rPr>
  </w:style>
  <w:style w:type="paragraph" w:styleId="Beschriftung">
    <w:name w:val="caption"/>
    <w:basedOn w:val="Standard"/>
    <w:qFormat/>
    <w:pPr>
      <w:suppressLineNumbers/>
      <w:spacing w:before="120" w:after="120"/>
    </w:pPr>
    <w:rPr>
      <w:rFonts w:cs="Lucida Sans"/>
      <w:i/>
      <w:iCs/>
      <w:sz w:val="24"/>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sz w:val="24"/>
    </w:rPr>
  </w:style>
  <w:style w:type="paragraph" w:customStyle="1" w:styleId="TabelleQuellenangabe">
    <w:name w:val="Tabelle Quellenangabe"/>
    <w:basedOn w:val="Standard"/>
    <w:pPr>
      <w:spacing w:before="160" w:after="300" w:line="200" w:lineRule="exact"/>
      <w:ind w:firstLine="0"/>
      <w:jc w:val="left"/>
    </w:pPr>
    <w:rPr>
      <w:iCs/>
      <w:sz w:val="16"/>
      <w:szCs w:val="18"/>
    </w:rPr>
  </w:style>
  <w:style w:type="paragraph" w:styleId="Kopfzeile">
    <w:name w:val="header"/>
    <w:basedOn w:val="Standard"/>
    <w:semiHidden/>
    <w:pPr>
      <w:suppressLineNumbers/>
      <w:tabs>
        <w:tab w:val="center" w:pos="4536"/>
        <w:tab w:val="right" w:pos="9072"/>
      </w:tabs>
      <w:ind w:firstLine="0"/>
      <w:jc w:val="left"/>
    </w:pPr>
    <w:rPr>
      <w:caps/>
      <w:spacing w:val="6"/>
      <w:sz w:val="16"/>
    </w:rPr>
  </w:style>
  <w:style w:type="paragraph" w:styleId="Fuzeile">
    <w:name w:val="footer"/>
    <w:basedOn w:val="Standard"/>
    <w:semiHidden/>
    <w:pPr>
      <w:widowControl w:val="0"/>
      <w:suppressLineNumbers/>
      <w:tabs>
        <w:tab w:val="center" w:pos="4536"/>
        <w:tab w:val="left" w:pos="6180"/>
        <w:tab w:val="right" w:pos="8611"/>
        <w:tab w:val="right" w:pos="9072"/>
      </w:tabs>
      <w:spacing w:line="100" w:lineRule="atLeast"/>
      <w:jc w:val="right"/>
    </w:pPr>
    <w:rPr>
      <w:color w:val="E52236"/>
      <w:sz w:val="24"/>
    </w:rPr>
  </w:style>
  <w:style w:type="paragraph" w:customStyle="1" w:styleId="Sprechblasentext1">
    <w:name w:val="Sprechblasentext1"/>
    <w:basedOn w:val="Standard"/>
    <w:pPr>
      <w:spacing w:line="100" w:lineRule="atLeast"/>
    </w:pPr>
    <w:rPr>
      <w:rFonts w:ascii="Times New Roman" w:hAnsi="Times New Roman" w:cs="Times New Roman"/>
      <w:szCs w:val="18"/>
    </w:rPr>
  </w:style>
  <w:style w:type="paragraph" w:customStyle="1" w:styleId="Listenabsatz1">
    <w:name w:val="Listenabsatz1"/>
    <w:basedOn w:val="Standard"/>
    <w:pPr>
      <w:ind w:left="720"/>
    </w:pPr>
  </w:style>
  <w:style w:type="paragraph" w:customStyle="1" w:styleId="Subheadline">
    <w:name w:val="Subheadline"/>
    <w:pPr>
      <w:widowControl w:val="0"/>
      <w:suppressAutoHyphens/>
      <w:spacing w:line="320" w:lineRule="exact"/>
    </w:pPr>
    <w:rPr>
      <w:rFonts w:ascii="Arial" w:eastAsia="SimSun" w:hAnsi="Arial" w:cs="font233"/>
      <w:caps/>
      <w:sz w:val="28"/>
      <w:szCs w:val="24"/>
      <w:lang w:val="de-DE" w:eastAsia="ar-SA"/>
    </w:rPr>
  </w:style>
  <w:style w:type="paragraph" w:customStyle="1" w:styleId="Funotentext1">
    <w:name w:val="Fußnotentext1"/>
    <w:basedOn w:val="Standard"/>
    <w:pPr>
      <w:spacing w:after="60" w:line="160" w:lineRule="exact"/>
      <w:ind w:firstLine="0"/>
    </w:pPr>
    <w:rPr>
      <w:rFonts w:ascii="Graphik LCG" w:hAnsi="Graphik LCG"/>
      <w:sz w:val="13"/>
    </w:rPr>
  </w:style>
  <w:style w:type="paragraph" w:customStyle="1" w:styleId="Inhaltsverzeichnisberschrift">
    <w:name w:val="Inhaltsverzeichnis Überschrift"/>
    <w:basedOn w:val="berschrift"/>
    <w:pPr>
      <w:widowControl w:val="0"/>
      <w:suppressLineNumbers/>
      <w:spacing w:before="480" w:line="276" w:lineRule="auto"/>
      <w:ind w:firstLine="0"/>
    </w:pPr>
    <w:rPr>
      <w:rFonts w:eastAsia="SimSun" w:cs="font233"/>
      <w:b/>
      <w:bCs/>
      <w:color w:val="auto"/>
      <w:sz w:val="32"/>
      <w:lang w:val="en-GB"/>
    </w:rPr>
  </w:style>
  <w:style w:type="paragraph" w:styleId="Verzeichnis1">
    <w:name w:val="toc 1"/>
    <w:basedOn w:val="Standard"/>
    <w:semiHidden/>
    <w:pPr>
      <w:tabs>
        <w:tab w:val="left" w:pos="567"/>
      </w:tabs>
      <w:spacing w:before="120" w:line="320" w:lineRule="exact"/>
      <w:ind w:firstLine="0"/>
      <w:jc w:val="left"/>
    </w:pPr>
    <w:rPr>
      <w:rFonts w:cs="Arial"/>
      <w:bCs/>
      <w:color w:val="E52236"/>
    </w:rPr>
  </w:style>
  <w:style w:type="paragraph" w:styleId="Verzeichnis2">
    <w:name w:val="toc 2"/>
    <w:basedOn w:val="Standard"/>
    <w:semiHidden/>
    <w:pPr>
      <w:tabs>
        <w:tab w:val="left" w:pos="567"/>
      </w:tabs>
      <w:ind w:left="283" w:firstLine="0"/>
      <w:jc w:val="left"/>
    </w:pPr>
    <w:rPr>
      <w:rFonts w:cs="Arial"/>
      <w:bCs/>
      <w:szCs w:val="22"/>
    </w:rPr>
  </w:style>
  <w:style w:type="paragraph" w:styleId="Verzeichnis3">
    <w:name w:val="toc 3"/>
    <w:basedOn w:val="Standard"/>
    <w:semiHidden/>
    <w:pPr>
      <w:tabs>
        <w:tab w:val="left" w:pos="567"/>
      </w:tabs>
      <w:ind w:left="567" w:firstLine="0"/>
      <w:jc w:val="left"/>
    </w:pPr>
    <w:rPr>
      <w:rFonts w:cs="Arial"/>
      <w:szCs w:val="22"/>
    </w:rPr>
  </w:style>
  <w:style w:type="paragraph" w:styleId="Verzeichnis4">
    <w:name w:val="toc 4"/>
    <w:basedOn w:val="Standard"/>
    <w:semiHidden/>
    <w:pPr>
      <w:tabs>
        <w:tab w:val="right" w:leader="dot" w:pos="8789"/>
      </w:tabs>
      <w:ind w:left="630" w:firstLine="0"/>
      <w:jc w:val="left"/>
    </w:pPr>
    <w:rPr>
      <w:rFonts w:ascii="Arial" w:hAnsi="Arial" w:cs="Arial"/>
      <w:sz w:val="20"/>
      <w:szCs w:val="20"/>
    </w:rPr>
  </w:style>
  <w:style w:type="paragraph" w:styleId="Verzeichnis5">
    <w:name w:val="toc 5"/>
    <w:basedOn w:val="Standard"/>
    <w:semiHidden/>
    <w:pPr>
      <w:tabs>
        <w:tab w:val="right" w:leader="dot" w:pos="8506"/>
      </w:tabs>
      <w:ind w:left="840" w:firstLine="0"/>
      <w:jc w:val="left"/>
    </w:pPr>
    <w:rPr>
      <w:rFonts w:ascii="Arial" w:hAnsi="Arial" w:cs="Arial"/>
      <w:sz w:val="20"/>
      <w:szCs w:val="20"/>
    </w:rPr>
  </w:style>
  <w:style w:type="paragraph" w:styleId="Verzeichnis6">
    <w:name w:val="toc 6"/>
    <w:basedOn w:val="Standard"/>
    <w:semiHidden/>
    <w:pPr>
      <w:tabs>
        <w:tab w:val="right" w:leader="dot" w:pos="8223"/>
      </w:tabs>
      <w:ind w:left="1050" w:firstLine="0"/>
      <w:jc w:val="left"/>
    </w:pPr>
    <w:rPr>
      <w:rFonts w:ascii="Arial" w:hAnsi="Arial" w:cs="Arial"/>
      <w:sz w:val="20"/>
      <w:szCs w:val="20"/>
    </w:rPr>
  </w:style>
  <w:style w:type="paragraph" w:styleId="Verzeichnis7">
    <w:name w:val="toc 7"/>
    <w:basedOn w:val="Standard"/>
    <w:semiHidden/>
    <w:pPr>
      <w:tabs>
        <w:tab w:val="right" w:leader="dot" w:pos="7940"/>
      </w:tabs>
      <w:ind w:left="1260" w:firstLine="0"/>
      <w:jc w:val="left"/>
    </w:pPr>
    <w:rPr>
      <w:rFonts w:ascii="Arial" w:hAnsi="Arial" w:cs="Arial"/>
      <w:sz w:val="20"/>
      <w:szCs w:val="20"/>
    </w:rPr>
  </w:style>
  <w:style w:type="paragraph" w:styleId="Verzeichnis8">
    <w:name w:val="toc 8"/>
    <w:basedOn w:val="Standard"/>
    <w:semiHidden/>
    <w:pPr>
      <w:tabs>
        <w:tab w:val="right" w:leader="dot" w:pos="7657"/>
      </w:tabs>
      <w:ind w:left="1470" w:firstLine="0"/>
      <w:jc w:val="left"/>
    </w:pPr>
    <w:rPr>
      <w:rFonts w:ascii="Arial" w:hAnsi="Arial" w:cs="Arial"/>
      <w:sz w:val="20"/>
      <w:szCs w:val="20"/>
    </w:rPr>
  </w:style>
  <w:style w:type="paragraph" w:styleId="Verzeichnis9">
    <w:name w:val="toc 9"/>
    <w:basedOn w:val="Standard"/>
    <w:semiHidden/>
    <w:pPr>
      <w:tabs>
        <w:tab w:val="right" w:leader="dot" w:pos="7374"/>
      </w:tabs>
      <w:ind w:left="1680" w:firstLine="0"/>
      <w:jc w:val="left"/>
    </w:pPr>
    <w:rPr>
      <w:rFonts w:ascii="Arial" w:hAnsi="Arial" w:cs="Arial"/>
      <w:sz w:val="20"/>
      <w:szCs w:val="20"/>
    </w:rPr>
  </w:style>
  <w:style w:type="paragraph" w:customStyle="1" w:styleId="Headline">
    <w:name w:val="Headline"/>
    <w:basedOn w:val="Standard"/>
    <w:pPr>
      <w:spacing w:line="680" w:lineRule="exact"/>
      <w:ind w:firstLine="0"/>
      <w:jc w:val="center"/>
    </w:pPr>
    <w:rPr>
      <w:color w:val="E52236"/>
      <w:sz w:val="64"/>
    </w:rPr>
  </w:style>
  <w:style w:type="paragraph" w:customStyle="1" w:styleId="TabelleTitel">
    <w:name w:val="Tabelle Titel"/>
    <w:basedOn w:val="Standard"/>
    <w:pPr>
      <w:spacing w:before="280" w:after="100"/>
      <w:ind w:firstLine="0"/>
      <w:jc w:val="left"/>
    </w:pPr>
    <w:rPr>
      <w:caps/>
      <w:color w:val="E52236"/>
    </w:rPr>
  </w:style>
  <w:style w:type="paragraph" w:customStyle="1" w:styleId="TabelleTextRot">
    <w:name w:val="Tabelle Text Rot"/>
    <w:pPr>
      <w:widowControl w:val="0"/>
      <w:suppressAutoHyphens/>
      <w:spacing w:line="100" w:lineRule="atLeast"/>
    </w:pPr>
    <w:rPr>
      <w:rFonts w:ascii="Arial" w:eastAsia="SimSun" w:hAnsi="Arial" w:cs="font233"/>
      <w:color w:val="E52236"/>
      <w:sz w:val="24"/>
      <w:szCs w:val="24"/>
      <w:lang w:val="de-DE" w:eastAsia="ar-SA"/>
    </w:rPr>
  </w:style>
  <w:style w:type="paragraph" w:customStyle="1" w:styleId="TabelleTextSchwarz">
    <w:name w:val="Tabelle Text Schwarz"/>
    <w:basedOn w:val="Standard"/>
    <w:pPr>
      <w:spacing w:line="240" w:lineRule="exact"/>
      <w:ind w:firstLine="0"/>
      <w:jc w:val="right"/>
    </w:pPr>
    <w:rPr>
      <w:rFonts w:ascii="Graphik LCG" w:hAnsi="Graphik LCG"/>
      <w:sz w:val="18"/>
    </w:rPr>
  </w:style>
  <w:style w:type="paragraph" w:customStyle="1" w:styleId="HeadlineDeckblatt">
    <w:name w:val="Headline Deckblatt"/>
    <w:basedOn w:val="Headline"/>
    <w:pPr>
      <w:spacing w:line="1520" w:lineRule="exact"/>
    </w:pPr>
    <w:rPr>
      <w:sz w:val="140"/>
    </w:rPr>
  </w:style>
  <w:style w:type="paragraph" w:customStyle="1" w:styleId="Aufzhlung">
    <w:name w:val="Aufzählung"/>
    <w:basedOn w:val="Standard"/>
    <w:pPr>
      <w:spacing w:after="120"/>
      <w:ind w:firstLine="0"/>
    </w:pPr>
    <w:rPr>
      <w:lang w:val="en-US"/>
    </w:rPr>
  </w:style>
  <w:style w:type="paragraph" w:customStyle="1" w:styleId="Nummerierung">
    <w:name w:val="Nummerierung"/>
    <w:basedOn w:val="Aufzhlung"/>
    <w:pPr>
      <w:tabs>
        <w:tab w:val="left" w:pos="794"/>
      </w:tabs>
      <w:ind w:left="794" w:hanging="227"/>
    </w:pPr>
  </w:style>
  <w:style w:type="paragraph" w:customStyle="1" w:styleId="Bildunterschrift">
    <w:name w:val="Bildunterschrift"/>
    <w:basedOn w:val="TabelleQuellenangabe"/>
    <w:rPr>
      <w:color w:val="E52236"/>
      <w:lang w:val="en-US"/>
    </w:rPr>
  </w:style>
  <w:style w:type="paragraph" w:customStyle="1" w:styleId="AdressKopf">
    <w:name w:val="AdressKopf"/>
    <w:basedOn w:val="Standard"/>
    <w:pPr>
      <w:spacing w:before="20" w:line="100" w:lineRule="atLeast"/>
      <w:ind w:firstLine="0"/>
      <w:jc w:val="left"/>
    </w:pPr>
    <w:rPr>
      <w:rFonts w:ascii="Arial" w:hAnsi="Arial" w:cs="Angsana New"/>
      <w:color w:val="00000A"/>
      <w:spacing w:val="0"/>
      <w:sz w:val="24"/>
      <w:lang w:val="de-AT" w:eastAsia="th-TH" w:bidi="th-TH"/>
    </w:rPr>
  </w:style>
  <w:style w:type="paragraph" w:customStyle="1" w:styleId="Kommentartext1">
    <w:name w:val="Kommentartext1"/>
    <w:basedOn w:val="Standard"/>
    <w:pPr>
      <w:spacing w:line="100" w:lineRule="atLeast"/>
    </w:pPr>
    <w:rPr>
      <w:sz w:val="20"/>
      <w:szCs w:val="20"/>
    </w:rPr>
  </w:style>
  <w:style w:type="paragraph" w:customStyle="1" w:styleId="Kommentarthema1">
    <w:name w:val="Kommentarthema1"/>
    <w:basedOn w:val="Kommentartext1"/>
    <w:rPr>
      <w:b/>
      <w:bCs/>
    </w:rPr>
  </w:style>
  <w:style w:type="paragraph" w:customStyle="1" w:styleId="Sprechblasentext2">
    <w:name w:val="Sprechblasentext2"/>
    <w:basedOn w:val="Standard"/>
    <w:pPr>
      <w:spacing w:line="100" w:lineRule="atLeast"/>
    </w:pPr>
    <w:rPr>
      <w:rFonts w:ascii="Segoe UI" w:hAnsi="Segoe UI" w:cs="Segoe UI"/>
      <w:sz w:val="18"/>
      <w:szCs w:val="18"/>
    </w:rPr>
  </w:style>
  <w:style w:type="paragraph" w:styleId="Sprechblasentext">
    <w:name w:val="Balloon Text"/>
    <w:basedOn w:val="Standard"/>
    <w:link w:val="SprechblasentextZchn2"/>
    <w:uiPriority w:val="99"/>
    <w:semiHidden/>
    <w:unhideWhenUsed/>
    <w:rsid w:val="00633034"/>
    <w:pPr>
      <w:spacing w:line="240" w:lineRule="auto"/>
    </w:pPr>
    <w:rPr>
      <w:rFonts w:ascii="Segoe UI" w:hAnsi="Segoe UI" w:cs="Segoe UI"/>
      <w:sz w:val="18"/>
      <w:szCs w:val="18"/>
    </w:rPr>
  </w:style>
  <w:style w:type="character" w:customStyle="1" w:styleId="SprechblasentextZchn2">
    <w:name w:val="Sprechblasentext Zchn2"/>
    <w:basedOn w:val="Absatz-Standardschriftart"/>
    <w:link w:val="Sprechblasentext"/>
    <w:uiPriority w:val="99"/>
    <w:semiHidden/>
    <w:rsid w:val="00633034"/>
    <w:rPr>
      <w:rFonts w:ascii="Segoe UI" w:eastAsia="SimSun" w:hAnsi="Segoe UI" w:cs="Segoe UI"/>
      <w:color w:val="000000"/>
      <w:spacing w:val="4"/>
      <w:sz w:val="18"/>
      <w:szCs w:val="18"/>
      <w:lang w:val="de-DE" w:eastAsia="ar-SA"/>
    </w:rPr>
  </w:style>
  <w:style w:type="character" w:styleId="Kommentarzeichen">
    <w:name w:val="annotation reference"/>
    <w:basedOn w:val="Absatz-Standardschriftart"/>
    <w:uiPriority w:val="99"/>
    <w:semiHidden/>
    <w:unhideWhenUsed/>
    <w:rsid w:val="00767D7E"/>
    <w:rPr>
      <w:sz w:val="16"/>
      <w:szCs w:val="16"/>
    </w:rPr>
  </w:style>
  <w:style w:type="paragraph" w:styleId="Kommentartext">
    <w:name w:val="annotation text"/>
    <w:basedOn w:val="Standard"/>
    <w:link w:val="KommentartextZchn1"/>
    <w:uiPriority w:val="99"/>
    <w:semiHidden/>
    <w:unhideWhenUsed/>
    <w:rsid w:val="00767D7E"/>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767D7E"/>
    <w:rPr>
      <w:rFonts w:ascii="Graphik LCG Light" w:eastAsia="SimSun" w:hAnsi="Graphik LCG Light" w:cs="font233"/>
      <w:color w:val="000000"/>
      <w:spacing w:val="4"/>
      <w:lang w:val="de-DE" w:eastAsia="ar-SA"/>
    </w:rPr>
  </w:style>
  <w:style w:type="paragraph" w:styleId="Kommentarthema">
    <w:name w:val="annotation subject"/>
    <w:basedOn w:val="Kommentartext"/>
    <w:next w:val="Kommentartext"/>
    <w:link w:val="KommentarthemaZchn1"/>
    <w:uiPriority w:val="99"/>
    <w:semiHidden/>
    <w:unhideWhenUsed/>
    <w:rsid w:val="00767D7E"/>
    <w:rPr>
      <w:b/>
      <w:bCs/>
    </w:rPr>
  </w:style>
  <w:style w:type="character" w:customStyle="1" w:styleId="KommentarthemaZchn1">
    <w:name w:val="Kommentarthema Zchn1"/>
    <w:basedOn w:val="KommentartextZchn1"/>
    <w:link w:val="Kommentarthema"/>
    <w:uiPriority w:val="99"/>
    <w:semiHidden/>
    <w:rsid w:val="00767D7E"/>
    <w:rPr>
      <w:rFonts w:ascii="Graphik LCG Light" w:eastAsia="SimSun" w:hAnsi="Graphik LCG Light" w:cs="font233"/>
      <w:b/>
      <w:bCs/>
      <w:color w:val="000000"/>
      <w:spacing w:val="4"/>
      <w:lang w:val="de-DE" w:eastAsia="ar-SA"/>
    </w:rPr>
  </w:style>
  <w:style w:type="paragraph" w:styleId="berarbeitung">
    <w:name w:val="Revision"/>
    <w:hidden/>
    <w:uiPriority w:val="99"/>
    <w:semiHidden/>
    <w:rsid w:val="00767D7E"/>
    <w:rPr>
      <w:rFonts w:ascii="Graphik LCG Light" w:eastAsia="SimSun" w:hAnsi="Graphik LCG Light" w:cs="font233"/>
      <w:color w:val="000000"/>
      <w:spacing w:val="4"/>
      <w:sz w:val="21"/>
      <w:szCs w:val="24"/>
      <w:lang w:val="de-DE" w:eastAsia="ar-SA"/>
    </w:rPr>
  </w:style>
  <w:style w:type="paragraph" w:styleId="Funotentext">
    <w:name w:val="footnote text"/>
    <w:basedOn w:val="Standard"/>
    <w:link w:val="FunotentextZchn1"/>
    <w:uiPriority w:val="99"/>
    <w:semiHidden/>
    <w:unhideWhenUsed/>
    <w:rsid w:val="00345E53"/>
    <w:pPr>
      <w:spacing w:line="240" w:lineRule="auto"/>
    </w:pPr>
    <w:rPr>
      <w:sz w:val="20"/>
      <w:szCs w:val="20"/>
    </w:rPr>
  </w:style>
  <w:style w:type="character" w:customStyle="1" w:styleId="FunotentextZchn1">
    <w:name w:val="Fußnotentext Zchn1"/>
    <w:basedOn w:val="Absatz-Standardschriftart"/>
    <w:link w:val="Funotentext"/>
    <w:uiPriority w:val="99"/>
    <w:semiHidden/>
    <w:rsid w:val="00345E53"/>
    <w:rPr>
      <w:rFonts w:ascii="Graphik LCG Light" w:eastAsia="SimSun" w:hAnsi="Graphik LCG Light" w:cs="font233"/>
      <w:color w:val="000000"/>
      <w:spacing w:val="4"/>
      <w:lang w:val="de-DE" w:eastAsia="ar-SA"/>
    </w:rPr>
  </w:style>
  <w:style w:type="character" w:styleId="Funotenzeichen">
    <w:name w:val="footnote reference"/>
    <w:basedOn w:val="Absatz-Standardschriftart"/>
    <w:uiPriority w:val="99"/>
    <w:semiHidden/>
    <w:unhideWhenUsed/>
    <w:rsid w:val="00345E53"/>
    <w:rPr>
      <w:vertAlign w:val="superscript"/>
    </w:rPr>
  </w:style>
  <w:style w:type="character" w:styleId="NichtaufgelsteErwhnung">
    <w:name w:val="Unresolved Mention"/>
    <w:basedOn w:val="Absatz-Standardschriftart"/>
    <w:uiPriority w:val="99"/>
    <w:semiHidden/>
    <w:unhideWhenUsed/>
    <w:rsid w:val="00DD30AE"/>
    <w:rPr>
      <w:color w:val="605E5C"/>
      <w:shd w:val="clear" w:color="auto" w:fill="E1DFDD"/>
    </w:rPr>
  </w:style>
  <w:style w:type="character" w:styleId="BesuchterLink">
    <w:name w:val="FollowedHyperlink"/>
    <w:basedOn w:val="Absatz-Standardschriftart"/>
    <w:uiPriority w:val="99"/>
    <w:semiHidden/>
    <w:unhideWhenUsed/>
    <w:rsid w:val="00755D19"/>
    <w:rPr>
      <w:color w:val="954F72" w:themeColor="followedHyperlink"/>
      <w:u w:val="single"/>
    </w:rPr>
  </w:style>
  <w:style w:type="character" w:customStyle="1" w:styleId="ui-provider">
    <w:name w:val="ui-provider"/>
    <w:basedOn w:val="Absatz-Standardschriftart"/>
    <w:rsid w:val="00E05CC2"/>
  </w:style>
  <w:style w:type="paragraph" w:styleId="Listenabsatz">
    <w:name w:val="List Paragraph"/>
    <w:basedOn w:val="Standard"/>
    <w:uiPriority w:val="34"/>
    <w:qFormat/>
    <w:rsid w:val="00354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en.gv.at/bildung/hochschu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wu.ac.at/ws/portalfiles/portal/27177031/Studie_Landschaft+von+Firmenzentralen+in+Wien_FIN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fp1\shared\Abt_MH\Redaktion\Toolkit-Korrekturen\www.bmeia.gv.at\themen\wien-als-sitz-internationaler-organisation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en.gv.at/menschen/integration/daten-fakten/bevoelkerung-migratio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www.iccaworld.org/" TargetMode="External"/><Relationship Id="rId2" Type="http://schemas.openxmlformats.org/officeDocument/2006/relationships/hyperlink" Target="www.bmeia.gv.at/themen/wien-als-sitz-internationaler-organisationen" TargetMode="External"/><Relationship Id="rId1" Type="http://schemas.openxmlformats.org/officeDocument/2006/relationships/hyperlink" Target="https://www.eiu.com/n/campaigns/global-liveability-index-2024/" TargetMode="External"/><Relationship Id="rId5" Type="http://schemas.openxmlformats.org/officeDocument/2006/relationships/hyperlink" Target="http://www.wien.gv.at/statistik/bevoelkerung/bevoelkerungsstand/def-migration.html" TargetMode="External"/><Relationship Id="rId4" Type="http://schemas.openxmlformats.org/officeDocument/2006/relationships/hyperlink" Target="https://www.topuniversities.com/university-subject-rankings/performing-ar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8" ma:contentTypeDescription="Ein neues Dokument erstellen." ma:contentTypeScope="" ma:versionID="e20224f55f5c8d979e29fff0136e9527">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0c2466c5271c84627f996d8d905716e1"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Props1.xml><?xml version="1.0" encoding="utf-8"?>
<ds:datastoreItem xmlns:ds="http://schemas.openxmlformats.org/officeDocument/2006/customXml" ds:itemID="{C865A2FE-C6C6-4F4F-9CA0-F744BF4C9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012B4-99E6-4EDB-B4C8-69E0A864B86B}">
  <ds:schemaRefs>
    <ds:schemaRef ds:uri="http://schemas.openxmlformats.org/officeDocument/2006/bibliography"/>
  </ds:schemaRefs>
</ds:datastoreItem>
</file>

<file path=customXml/itemProps3.xml><?xml version="1.0" encoding="utf-8"?>
<ds:datastoreItem xmlns:ds="http://schemas.openxmlformats.org/officeDocument/2006/customXml" ds:itemID="{3CE280C1-39CD-41E2-A46E-C10717E92C53}">
  <ds:schemaRefs>
    <ds:schemaRef ds:uri="http://schemas.microsoft.com/sharepoint/v3/contenttype/forms"/>
  </ds:schemaRefs>
</ds:datastoreItem>
</file>

<file path=customXml/itemProps4.xml><?xml version="1.0" encoding="utf-8"?>
<ds:datastoreItem xmlns:ds="http://schemas.openxmlformats.org/officeDocument/2006/customXml" ds:itemID="{47407161-854F-462A-A209-B08D69CD94B7}">
  <ds:schemaRefs>
    <ds:schemaRef ds:uri="http://purl.org/dc/dcmitype/"/>
    <ds:schemaRef ds:uri="http://schemas.microsoft.com/office/2006/documentManagement/types"/>
    <ds:schemaRef ds:uri="http://schemas.microsoft.com/office/infopath/2007/PartnerControls"/>
    <ds:schemaRef ds:uri="http://purl.org/dc/terms/"/>
    <ds:schemaRef ds:uri="616b9ee9-3ba3-4752-9829-169512a00eab"/>
    <ds:schemaRef ds:uri="http://purl.org/dc/elements/1.1/"/>
    <ds:schemaRef ds:uri="b03d55c5-16a9-403a-9a86-5561fce8859b"/>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6793</Characters>
  <Application>Microsoft Office Word</Application>
  <DocSecurity>0</DocSecurity>
  <Lines>56</Lines>
  <Paragraphs>15</Paragraphs>
  <ScaleCrop>false</ScaleCrop>
  <Company>Paul Daniel PR</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WienTourismus</dc:title>
  <dc:creator>Helga Gerbl</dc:creator>
  <cp:lastModifiedBy>Gerbl, Helga</cp:lastModifiedBy>
  <cp:revision>76</cp:revision>
  <cp:lastPrinted>2021-11-29T14:23:00Z</cp:lastPrinted>
  <dcterms:created xsi:type="dcterms:W3CDTF">2022-10-17T12:54:00Z</dcterms:created>
  <dcterms:modified xsi:type="dcterms:W3CDTF">2025-02-12T11:13:00Z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Paul Daniel PR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0x0101006AFDA6C031B0E048A83ACE17E644BA16</vt:lpwstr>
  </property>
  <property fmtid="{D5CDD505-2E9C-101B-9397-08002B2CF9AE}" pid="10" name="MediaServiceImageTags">
    <vt:lpwstr/>
  </property>
</Properties>
</file>