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87E4" w14:textId="77777777" w:rsidR="00085E8C" w:rsidRPr="00E7088C" w:rsidRDefault="00085E8C" w:rsidP="00085E8C">
      <w:pPr>
        <w:pStyle w:val="Headline"/>
        <w:rPr>
          <w:lang w:val="en-US"/>
        </w:rPr>
      </w:pPr>
      <w:r w:rsidRPr="00E7088C">
        <w:rPr>
          <w:lang w:val="en-US"/>
        </w:rPr>
        <w:t>Meeting Destination Vienna</w:t>
      </w:r>
    </w:p>
    <w:p w14:paraId="6C7A0433" w14:textId="77777777" w:rsidR="00085E8C" w:rsidRPr="00E7088C" w:rsidRDefault="00085E8C" w:rsidP="00085E8C">
      <w:pPr>
        <w:rPr>
          <w:lang w:val="en-US"/>
        </w:rPr>
      </w:pPr>
    </w:p>
    <w:p w14:paraId="20001895" w14:textId="77777777" w:rsidR="00085E8C" w:rsidRPr="00E7088C" w:rsidRDefault="00085E8C" w:rsidP="00085E8C">
      <w:pPr>
        <w:ind w:firstLine="0"/>
        <w:rPr>
          <w:b/>
          <w:lang w:val="en-US"/>
        </w:rPr>
      </w:pPr>
      <w:r w:rsidRPr="00E7088C">
        <w:rPr>
          <w:b/>
          <w:bCs/>
          <w:lang w:val="en-US"/>
        </w:rPr>
        <w:t xml:space="preserve">Vienna is one of the leading meetings destinations in the world. The city’s location in the heart of Europe, excellent infrastructure, short distances and exceptional ‘livability’ are among its many strengths. </w:t>
      </w:r>
      <w:r w:rsidRPr="00E7088C">
        <w:rPr>
          <w:b/>
          <w:lang w:val="en-US"/>
        </w:rPr>
        <w:t xml:space="preserve">High hospitality standards and outstanding art and cultural offerings further contribute to Vienna's attractiveness. </w:t>
      </w:r>
      <w:r w:rsidRPr="00E7088C">
        <w:rPr>
          <w:b/>
          <w:bCs/>
          <w:lang w:val="en-US"/>
        </w:rPr>
        <w:t>The professionalism of its meetings experts combined with the work of the Vienna Convention Bureau make it easy for international organizers to select the Austrian capital as the destination for their meetings.</w:t>
      </w:r>
    </w:p>
    <w:p w14:paraId="3EBBCFF0" w14:textId="77777777" w:rsidR="00085E8C" w:rsidRPr="00E7088C" w:rsidRDefault="00085E8C" w:rsidP="00085E8C">
      <w:pPr>
        <w:rPr>
          <w:b/>
          <w:lang w:val="en-US"/>
        </w:rPr>
      </w:pPr>
    </w:p>
    <w:p w14:paraId="3D465DD5" w14:textId="4F5777B1" w:rsidR="00085E8C" w:rsidRPr="00E7088C" w:rsidRDefault="00085E8C" w:rsidP="00085E8C">
      <w:pPr>
        <w:ind w:firstLine="0"/>
        <w:rPr>
          <w:lang w:val="en-US"/>
        </w:rPr>
      </w:pPr>
      <w:r w:rsidRPr="00E7088C">
        <w:rPr>
          <w:lang w:val="en-US"/>
        </w:rPr>
        <w:t xml:space="preserve">Vienna’s reputation is second to none among professional meeting organizers. The city’s location in the heart of Europe and its role as a hub between east and west are among its biggest strengths. </w:t>
      </w:r>
      <w:r w:rsidR="00C328B8">
        <w:rPr>
          <w:lang w:val="en-US"/>
        </w:rPr>
        <w:t>The majority of</w:t>
      </w:r>
      <w:r w:rsidRPr="00E7088C">
        <w:rPr>
          <w:lang w:val="en-US"/>
        </w:rPr>
        <w:t xml:space="preserve"> European capitals are less than three hours away by </w:t>
      </w:r>
      <w:r w:rsidR="00C328B8">
        <w:rPr>
          <w:lang w:val="en-US"/>
        </w:rPr>
        <w:t>plane</w:t>
      </w:r>
      <w:r w:rsidRPr="00E7088C">
        <w:rPr>
          <w:lang w:val="en-US"/>
        </w:rPr>
        <w:t xml:space="preserve">. About </w:t>
      </w:r>
      <w:r w:rsidR="00041EE6">
        <w:rPr>
          <w:lang w:val="en-US"/>
        </w:rPr>
        <w:t>60</w:t>
      </w:r>
      <w:r w:rsidRPr="00E7088C">
        <w:rPr>
          <w:lang w:val="en-US"/>
        </w:rPr>
        <w:t xml:space="preserve"> airlines provide regular connections to and from more than </w:t>
      </w:r>
      <w:r w:rsidR="00041EE6">
        <w:rPr>
          <w:lang w:val="en-US"/>
        </w:rPr>
        <w:t>1</w:t>
      </w:r>
      <w:r w:rsidR="00AD145D">
        <w:rPr>
          <w:lang w:val="en-US"/>
        </w:rPr>
        <w:t>6</w:t>
      </w:r>
      <w:r w:rsidR="00041EE6">
        <w:rPr>
          <w:lang w:val="en-US"/>
        </w:rPr>
        <w:t>0</w:t>
      </w:r>
      <w:r w:rsidR="00083258" w:rsidRPr="00E7088C">
        <w:rPr>
          <w:lang w:val="en-US"/>
        </w:rPr>
        <w:t xml:space="preserve"> </w:t>
      </w:r>
      <w:r w:rsidRPr="00E7088C">
        <w:rPr>
          <w:lang w:val="en-US"/>
        </w:rPr>
        <w:t>destinations worldwide (202</w:t>
      </w:r>
      <w:r w:rsidR="00AD145D">
        <w:rPr>
          <w:lang w:val="en-US"/>
        </w:rPr>
        <w:t>4</w:t>
      </w:r>
      <w:r w:rsidRPr="00E7088C">
        <w:rPr>
          <w:lang w:val="en-US"/>
        </w:rPr>
        <w:t>). It takes just 16 minutes to reach the center of town from Vienna International Airport on the non-stop CAT (City Airport Train), and only around 20 minutes by taxi. Vienna is a safe and clean international capital with reliable and highly-functioning infrastructure and an outstanding public transportation network. As a smart and conveniently compact city, it is pedestrian friendly with many attractions within close walking distance of each other – surrounded by plenty of green spaces. Thanks to its firm commitment to sustainability, Vienna enjoys a strong reputation as a laid back capital that offers all of the amenities of a major urban center without the stresses that come with it.</w:t>
      </w:r>
      <w:r w:rsidR="001C707C" w:rsidRPr="00E7088C">
        <w:rPr>
          <w:lang w:val="en-US"/>
        </w:rPr>
        <w:t xml:space="preserve"> </w:t>
      </w:r>
      <w:r w:rsidRPr="00E7088C">
        <w:rPr>
          <w:lang w:val="en-US"/>
        </w:rPr>
        <w:t>As a result, the city has topped the international meeting destination rankings for years. In 202</w:t>
      </w:r>
      <w:r w:rsidR="00AD145D">
        <w:rPr>
          <w:lang w:val="en-US"/>
        </w:rPr>
        <w:t>4</w:t>
      </w:r>
      <w:r w:rsidRPr="00E7088C">
        <w:rPr>
          <w:lang w:val="en-US"/>
        </w:rPr>
        <w:t xml:space="preserve"> it took first place in the “202</w:t>
      </w:r>
      <w:r w:rsidR="00AD145D">
        <w:rPr>
          <w:lang w:val="en-US"/>
        </w:rPr>
        <w:t>4</w:t>
      </w:r>
      <w:r w:rsidRPr="00E7088C">
        <w:rPr>
          <w:lang w:val="en-US"/>
        </w:rPr>
        <w:t xml:space="preserve"> ICCA Ranking - Destination Performance Index (DPI)” of the International Congress and Convention </w:t>
      </w:r>
      <w:r w:rsidR="00C328B8" w:rsidRPr="00E7088C">
        <w:rPr>
          <w:lang w:val="en-US"/>
        </w:rPr>
        <w:t>Association and</w:t>
      </w:r>
      <w:r w:rsidRPr="00E7088C">
        <w:rPr>
          <w:lang w:val="en-US"/>
        </w:rPr>
        <w:t xml:space="preserve"> was rated </w:t>
      </w:r>
      <w:r w:rsidR="00041EE6">
        <w:rPr>
          <w:lang w:val="en-US"/>
        </w:rPr>
        <w:t>second</w:t>
      </w:r>
      <w:r w:rsidR="00AD145D">
        <w:rPr>
          <w:lang w:val="en-US"/>
        </w:rPr>
        <w:t xml:space="preserve"> for the second time</w:t>
      </w:r>
      <w:r w:rsidRPr="00E7088C">
        <w:rPr>
          <w:lang w:val="en-US"/>
        </w:rPr>
        <w:t xml:space="preserve"> in the 202</w:t>
      </w:r>
      <w:r w:rsidR="00AD145D">
        <w:rPr>
          <w:lang w:val="en-US"/>
        </w:rPr>
        <w:t>3</w:t>
      </w:r>
      <w:r w:rsidRPr="00E7088C">
        <w:rPr>
          <w:lang w:val="en-US"/>
        </w:rPr>
        <w:t xml:space="preserve"> </w:t>
      </w:r>
      <w:bookmarkStart w:id="0" w:name="_Hlk10639328"/>
      <w:r w:rsidRPr="00E7088C">
        <w:rPr>
          <w:lang w:val="en-US"/>
        </w:rPr>
        <w:t>Union of International Associations (UIA)</w:t>
      </w:r>
      <w:bookmarkEnd w:id="0"/>
      <w:r w:rsidRPr="00E7088C">
        <w:rPr>
          <w:lang w:val="en-US"/>
        </w:rPr>
        <w:t xml:space="preserve"> Meetings Statistics Report.</w:t>
      </w:r>
    </w:p>
    <w:p w14:paraId="4F8A7FAE" w14:textId="77777777" w:rsidR="00085E8C" w:rsidRPr="00E7088C" w:rsidRDefault="00085E8C" w:rsidP="00085E8C">
      <w:pPr>
        <w:rPr>
          <w:lang w:val="en-US"/>
        </w:rPr>
      </w:pPr>
    </w:p>
    <w:p w14:paraId="0CD85751" w14:textId="535A6B11" w:rsidR="00380B93" w:rsidRDefault="00085E8C" w:rsidP="00085E8C">
      <w:pPr>
        <w:ind w:firstLine="0"/>
        <w:rPr>
          <w:lang w:val="en-US"/>
        </w:rPr>
      </w:pPr>
      <w:r w:rsidRPr="00E7088C">
        <w:rPr>
          <w:lang w:val="en-US"/>
        </w:rPr>
        <w:t xml:space="preserve">Vienna is a sought-after meeting location, especially for congresses in the fields of human medicine, the humanities and natural sciences, and business </w:t>
      </w:r>
      <w:r w:rsidR="00C328B8">
        <w:rPr>
          <w:lang w:val="en-US"/>
        </w:rPr>
        <w:t>&amp;</w:t>
      </w:r>
      <w:r w:rsidRPr="00E7088C">
        <w:rPr>
          <w:lang w:val="en-US"/>
        </w:rPr>
        <w:t xml:space="preserve"> politics. As one of just four major office sites of the Unites Nations (UN), their meetings also have a relevant share of congress activity in Vienna.</w:t>
      </w:r>
      <w:r w:rsidR="002F0BFE" w:rsidRPr="00E7088C">
        <w:rPr>
          <w:lang w:val="en-US"/>
        </w:rPr>
        <w:t xml:space="preserve"> </w:t>
      </w:r>
      <w:r w:rsidRPr="00E7088C">
        <w:rPr>
          <w:lang w:val="en-US"/>
        </w:rPr>
        <w:t xml:space="preserve">The meetings industry has a significant economic impact. </w:t>
      </w:r>
      <w:r w:rsidR="00AD145D" w:rsidRPr="00AD145D">
        <w:rPr>
          <w:lang w:val="en-US"/>
        </w:rPr>
        <w:t>The latest statistics on meetings in Vienna can be found in the Vienna Meetings Industry Report:</w:t>
      </w:r>
    </w:p>
    <w:p w14:paraId="1B5ED509" w14:textId="622E3AA3" w:rsidR="00380B93" w:rsidRDefault="00380B93" w:rsidP="00085E8C">
      <w:pPr>
        <w:ind w:firstLine="0"/>
        <w:rPr>
          <w:lang w:val="en-US"/>
        </w:rPr>
      </w:pPr>
      <w:hyperlink r:id="rId8" w:history="1">
        <w:r w:rsidRPr="00AE78FD">
          <w:rPr>
            <w:rStyle w:val="Hyperlink"/>
            <w:rFonts w:ascii="Graphik LCG TT Light" w:hAnsi="Graphik LCG TT Light"/>
            <w:lang w:val="en-US"/>
          </w:rPr>
          <w:t>https://meeting.vienna.info/en/who-we-are-services/vienna-meeting-industry-report</w:t>
        </w:r>
      </w:hyperlink>
      <w:r>
        <w:rPr>
          <w:lang w:val="en-US"/>
        </w:rPr>
        <w:t xml:space="preserve"> </w:t>
      </w:r>
    </w:p>
    <w:p w14:paraId="595884DE" w14:textId="77777777" w:rsidR="00380B93" w:rsidRDefault="00380B93" w:rsidP="00085E8C">
      <w:pPr>
        <w:ind w:firstLine="0"/>
        <w:rPr>
          <w:lang w:val="en-US"/>
        </w:rPr>
      </w:pPr>
    </w:p>
    <w:p w14:paraId="7B341A87" w14:textId="77777777" w:rsidR="00085E8C" w:rsidRPr="00E7088C" w:rsidRDefault="00085E8C" w:rsidP="00085E8C">
      <w:pPr>
        <w:ind w:firstLine="0"/>
        <w:rPr>
          <w:lang w:val="en-US"/>
        </w:rPr>
      </w:pPr>
    </w:p>
    <w:p w14:paraId="6CC7BCD4" w14:textId="50125B3D" w:rsidR="00085E8C" w:rsidRPr="00E7088C" w:rsidRDefault="00085E8C" w:rsidP="00085E8C">
      <w:pPr>
        <w:ind w:firstLine="0"/>
        <w:rPr>
          <w:b/>
          <w:bCs/>
          <w:color w:val="E52236" w:themeColor="accent1"/>
          <w:lang w:val="en-US"/>
        </w:rPr>
      </w:pPr>
      <w:hyperlink r:id="rId9" w:history="1">
        <w:r w:rsidRPr="00E7088C">
          <w:rPr>
            <w:rStyle w:val="Hyperlink"/>
            <w:rFonts w:ascii="Graphik LCG TT Light" w:hAnsi="Graphik LCG TT Light"/>
            <w:b/>
            <w:bCs/>
            <w:lang w:val="en-US"/>
          </w:rPr>
          <w:t>Event locations and hotels</w:t>
        </w:r>
      </w:hyperlink>
    </w:p>
    <w:p w14:paraId="45A40B13" w14:textId="4B52FA28" w:rsidR="00085E8C" w:rsidRPr="00E7088C" w:rsidRDefault="00085E8C" w:rsidP="00085E8C">
      <w:pPr>
        <w:ind w:firstLine="0"/>
        <w:rPr>
          <w:lang w:val="en-US"/>
        </w:rPr>
      </w:pPr>
      <w:r w:rsidRPr="00E7088C">
        <w:rPr>
          <w:lang w:val="en-US"/>
        </w:rPr>
        <w:t xml:space="preserve">Vienna’s versatile meeting infrastructure is concentrated in a compact area. Its three major convention centers: the Austria Center Vienna </w:t>
      </w:r>
      <w:r w:rsidRPr="00E7088C">
        <w:rPr>
          <w:i/>
          <w:iCs/>
          <w:lang w:val="en-US"/>
        </w:rPr>
        <w:t>(</w:t>
      </w:r>
      <w:hyperlink r:id="rId10" w:history="1">
        <w:r w:rsidRPr="00E7088C">
          <w:rPr>
            <w:rStyle w:val="Hyperlink"/>
            <w:rFonts w:ascii="Graphik LCG TT Light" w:hAnsi="Graphik LCG TT Light"/>
            <w:i/>
            <w:iCs/>
            <w:lang w:val="en-US"/>
          </w:rPr>
          <w:t>www.acv.at</w:t>
        </w:r>
      </w:hyperlink>
      <w:r w:rsidRPr="00E7088C">
        <w:rPr>
          <w:i/>
          <w:iCs/>
          <w:lang w:val="en-US"/>
        </w:rPr>
        <w:t>)</w:t>
      </w:r>
      <w:r w:rsidRPr="00E7088C">
        <w:rPr>
          <w:lang w:val="en-US"/>
        </w:rPr>
        <w:t xml:space="preserve">, HOFBURG Vienna </w:t>
      </w:r>
      <w:r w:rsidRPr="00E7088C">
        <w:rPr>
          <w:i/>
          <w:iCs/>
          <w:lang w:val="en-US"/>
        </w:rPr>
        <w:t>(</w:t>
      </w:r>
      <w:hyperlink r:id="rId11" w:history="1">
        <w:r w:rsidRPr="00E7088C">
          <w:rPr>
            <w:rStyle w:val="Hyperlink"/>
            <w:rFonts w:ascii="Graphik LCG TT Light" w:hAnsi="Graphik LCG TT Light"/>
            <w:i/>
            <w:iCs/>
            <w:lang w:val="en-US"/>
          </w:rPr>
          <w:t>www.hofburg.com</w:t>
        </w:r>
      </w:hyperlink>
      <w:r w:rsidRPr="00E7088C">
        <w:rPr>
          <w:i/>
          <w:iCs/>
          <w:lang w:val="en-US"/>
        </w:rPr>
        <w:t>)</w:t>
      </w:r>
      <w:r w:rsidRPr="00E7088C">
        <w:rPr>
          <w:lang w:val="en-US"/>
        </w:rPr>
        <w:t xml:space="preserve"> and</w:t>
      </w:r>
      <w:r w:rsidRPr="00E7088C">
        <w:rPr>
          <w:i/>
          <w:iCs/>
          <w:lang w:val="en-US"/>
        </w:rPr>
        <w:t xml:space="preserve"> </w:t>
      </w:r>
      <w:r w:rsidRPr="00E7088C">
        <w:rPr>
          <w:lang w:val="en-US"/>
        </w:rPr>
        <w:t xml:space="preserve">Messe Wien Exhibition &amp; Congress Center </w:t>
      </w:r>
      <w:r w:rsidRPr="00E7088C">
        <w:rPr>
          <w:i/>
          <w:iCs/>
          <w:lang w:val="en-US"/>
        </w:rPr>
        <w:t>(</w:t>
      </w:r>
      <w:hyperlink r:id="rId12" w:history="1">
        <w:r w:rsidRPr="00E7088C">
          <w:rPr>
            <w:rStyle w:val="Hyperlink"/>
            <w:rFonts w:ascii="Graphik LCG TT Light" w:hAnsi="Graphik LCG TT Light"/>
            <w:i/>
            <w:iCs/>
            <w:lang w:val="en-US"/>
          </w:rPr>
          <w:t>www.messecongress.at</w:t>
        </w:r>
      </w:hyperlink>
      <w:r w:rsidR="00083258" w:rsidRPr="00D75617">
        <w:rPr>
          <w:i/>
          <w:iCs/>
          <w:lang w:val="en-US"/>
        </w:rPr>
        <w:t xml:space="preserve">) </w:t>
      </w:r>
      <w:r w:rsidRPr="00E7088C">
        <w:rPr>
          <w:lang w:val="en-US"/>
        </w:rPr>
        <w:t>are supplemented by around 2</w:t>
      </w:r>
      <w:r w:rsidR="00AD145D">
        <w:rPr>
          <w:lang w:val="en-US"/>
        </w:rPr>
        <w:t>6</w:t>
      </w:r>
      <w:r w:rsidRPr="00E7088C">
        <w:rPr>
          <w:lang w:val="en-US"/>
        </w:rPr>
        <w:t>0 additional, highly diverse event locations. The majority of them are centrally located, meaning they are easy to reach – on foot or by public transportation.</w:t>
      </w:r>
    </w:p>
    <w:p w14:paraId="7C7E2D38" w14:textId="77777777" w:rsidR="00085E8C" w:rsidRPr="00E7088C" w:rsidRDefault="00085E8C" w:rsidP="00085E8C">
      <w:pPr>
        <w:ind w:firstLine="0"/>
        <w:rPr>
          <w:lang w:val="en-US"/>
        </w:rPr>
      </w:pPr>
    </w:p>
    <w:p w14:paraId="42995EAE" w14:textId="7182BF8E" w:rsidR="00085E8C" w:rsidRPr="00E7088C" w:rsidRDefault="00085E8C" w:rsidP="00085E8C">
      <w:pPr>
        <w:ind w:firstLine="0"/>
        <w:rPr>
          <w:lang w:val="en-US"/>
        </w:rPr>
      </w:pPr>
      <w:r w:rsidRPr="00E7088C">
        <w:rPr>
          <w:lang w:val="en-US"/>
        </w:rPr>
        <w:t xml:space="preserve">The Austria Center Vienna can host meetings for up to 22,800 participants, offering a wide range of options with </w:t>
      </w:r>
      <w:r w:rsidR="00AD145D">
        <w:rPr>
          <w:lang w:val="en-US"/>
        </w:rPr>
        <w:t>21</w:t>
      </w:r>
      <w:r w:rsidRPr="00E7088C">
        <w:rPr>
          <w:lang w:val="en-US"/>
        </w:rPr>
        <w:t xml:space="preserve"> halls and auditoriums, 1</w:t>
      </w:r>
      <w:r w:rsidR="00AD145D">
        <w:rPr>
          <w:lang w:val="en-US"/>
        </w:rPr>
        <w:t>34</w:t>
      </w:r>
      <w:r w:rsidRPr="00E7088C">
        <w:rPr>
          <w:lang w:val="en-US"/>
        </w:rPr>
        <w:t xml:space="preserve"> meeting rooms and </w:t>
      </w:r>
      <w:r w:rsidR="00AD145D">
        <w:rPr>
          <w:lang w:val="en-US"/>
        </w:rPr>
        <w:t xml:space="preserve">more than </w:t>
      </w:r>
      <w:r w:rsidRPr="00E7088C">
        <w:rPr>
          <w:lang w:val="en-US"/>
        </w:rPr>
        <w:t>26,000m² of exhibition space. The 35 historic and modern event spaces</w:t>
      </w:r>
      <w:r w:rsidR="00AD145D" w:rsidRPr="00933C60">
        <w:rPr>
          <w:lang w:val="en-US"/>
        </w:rPr>
        <w:t xml:space="preserve"> </w:t>
      </w:r>
      <w:r w:rsidR="00AD145D" w:rsidRPr="00AD145D">
        <w:rPr>
          <w:lang w:val="en-US"/>
        </w:rPr>
        <w:t xml:space="preserve">for 50 to 1,200 people and a total of 17,000 m² </w:t>
      </w:r>
      <w:r w:rsidR="00AD145D" w:rsidRPr="00AD145D">
        <w:rPr>
          <w:lang w:val="en-US"/>
        </w:rPr>
        <w:lastRenderedPageBreak/>
        <w:t>of event space</w:t>
      </w:r>
      <w:r w:rsidRPr="00E7088C">
        <w:rPr>
          <w:lang w:val="en-US"/>
        </w:rPr>
        <w:t xml:space="preserve"> at the HOFBURG Vienna</w:t>
      </w:r>
      <w:r w:rsidRPr="00E7088C">
        <w:rPr>
          <w:i/>
          <w:iCs/>
          <w:lang w:val="en-US"/>
        </w:rPr>
        <w:t xml:space="preserve"> </w:t>
      </w:r>
      <w:r w:rsidRPr="00E7088C">
        <w:rPr>
          <w:lang w:val="en-US"/>
        </w:rPr>
        <w:t xml:space="preserve">are located in the unique setting of the former imperial residence in the city center. The Messe Wien Exhibition &amp; Congress Center </w:t>
      </w:r>
      <w:r w:rsidR="00933C60" w:rsidRPr="00933C60">
        <w:rPr>
          <w:lang w:val="en-US"/>
        </w:rPr>
        <w:t>has a total area of 73,000 m² and offers space for events with a maximum of 3,000 people, or 29,000 people including the exhibition halls.</w:t>
      </w:r>
    </w:p>
    <w:p w14:paraId="16C4A44C" w14:textId="77777777" w:rsidR="00085E8C" w:rsidRPr="00E7088C" w:rsidRDefault="00085E8C" w:rsidP="00085E8C">
      <w:pPr>
        <w:ind w:firstLine="0"/>
        <w:rPr>
          <w:lang w:val="en-US"/>
        </w:rPr>
      </w:pPr>
      <w:bookmarkStart w:id="1" w:name="_Hlk20138092"/>
    </w:p>
    <w:p w14:paraId="713CCA1A" w14:textId="77777777" w:rsidR="00083258" w:rsidRPr="00E7088C" w:rsidRDefault="00085E8C" w:rsidP="00085E8C">
      <w:pPr>
        <w:ind w:firstLine="0"/>
        <w:rPr>
          <w:lang w:val="en-US"/>
        </w:rPr>
      </w:pPr>
      <w:r w:rsidRPr="00E7088C">
        <w:rPr>
          <w:lang w:val="en-US"/>
        </w:rPr>
        <w:t xml:space="preserve">Vienna’s venues offer an impressive variety: former industrial buildings, historic city palaces, museums, artists’ studios, concert halls and clubs. </w:t>
      </w:r>
      <w:bookmarkEnd w:id="1"/>
      <w:r w:rsidRPr="00E7088C">
        <w:rPr>
          <w:lang w:val="en-US"/>
        </w:rPr>
        <w:t xml:space="preserve">Space at various university buildings can also be hired for events primarily during recess periods (February, July, August, September). </w:t>
      </w:r>
      <w:r w:rsidR="009860BA" w:rsidRPr="00E7088C">
        <w:rPr>
          <w:lang w:val="en-US"/>
        </w:rPr>
        <w:t>The Wien Holding-Arena in Neu Marx in the third district will add a new and contemporary multi-purpose arena for large-scale events for up to 20,000 when it opens in the coming years.</w:t>
      </w:r>
      <w:r w:rsidR="000E18B9" w:rsidRPr="00E7088C">
        <w:rPr>
          <w:lang w:val="en-US"/>
        </w:rPr>
        <w:t xml:space="preserve"> </w:t>
      </w:r>
    </w:p>
    <w:p w14:paraId="6FD077BF" w14:textId="77777777" w:rsidR="00083258" w:rsidRPr="00E7088C" w:rsidRDefault="00083258" w:rsidP="00085E8C">
      <w:pPr>
        <w:ind w:firstLine="0"/>
        <w:rPr>
          <w:lang w:val="en-US"/>
        </w:rPr>
      </w:pPr>
    </w:p>
    <w:p w14:paraId="4C6E723C" w14:textId="096F729B" w:rsidR="009860BA" w:rsidRPr="00E7088C" w:rsidRDefault="000E18B9" w:rsidP="00085E8C">
      <w:pPr>
        <w:ind w:firstLine="0"/>
        <w:rPr>
          <w:lang w:val="en-US"/>
        </w:rPr>
      </w:pPr>
      <w:r w:rsidRPr="00E7088C">
        <w:rPr>
          <w:lang w:val="en-US"/>
        </w:rPr>
        <w:t xml:space="preserve">Meetings visitors have the pick of more than </w:t>
      </w:r>
      <w:r w:rsidR="00933C60">
        <w:rPr>
          <w:lang w:val="en-US"/>
        </w:rPr>
        <w:t>40.885</w:t>
      </w:r>
      <w:r w:rsidRPr="00E7088C">
        <w:rPr>
          <w:lang w:val="en-US"/>
        </w:rPr>
        <w:t xml:space="preserve"> rooms in around </w:t>
      </w:r>
      <w:r w:rsidR="00380B93">
        <w:rPr>
          <w:lang w:val="en-US"/>
        </w:rPr>
        <w:t>4</w:t>
      </w:r>
      <w:r w:rsidR="00933C60">
        <w:rPr>
          <w:lang w:val="en-US"/>
        </w:rPr>
        <w:t>33</w:t>
      </w:r>
      <w:r w:rsidRPr="00E7088C">
        <w:rPr>
          <w:lang w:val="en-US"/>
        </w:rPr>
        <w:t xml:space="preserve"> Viennese hotels</w:t>
      </w:r>
      <w:r w:rsidR="00380B93">
        <w:rPr>
          <w:lang w:val="en-US"/>
        </w:rPr>
        <w:t xml:space="preserve"> (as of </w:t>
      </w:r>
      <w:r w:rsidR="00933C60">
        <w:rPr>
          <w:lang w:val="en-US"/>
        </w:rPr>
        <w:t>January 2025</w:t>
      </w:r>
      <w:r w:rsidR="00380B93">
        <w:rPr>
          <w:lang w:val="en-US"/>
        </w:rPr>
        <w:t>)</w:t>
      </w:r>
      <w:r w:rsidRPr="00E7088C">
        <w:rPr>
          <w:lang w:val="en-US"/>
        </w:rPr>
        <w:t>. There is something to suit every taste: from luxury residences to budget accommodations, from historic to contemporary design-focused concepts. In total, around 100 hotels in a range of categories specifically cater to the meetings segment, offering conference rooms in-house.</w:t>
      </w:r>
    </w:p>
    <w:p w14:paraId="4C302CC1" w14:textId="77777777" w:rsidR="009860BA" w:rsidRPr="00E7088C" w:rsidRDefault="009860BA" w:rsidP="00085E8C">
      <w:pPr>
        <w:ind w:firstLine="0"/>
        <w:rPr>
          <w:lang w:val="en-US"/>
        </w:rPr>
      </w:pPr>
    </w:p>
    <w:p w14:paraId="6E7DA4DD" w14:textId="0456E967" w:rsidR="00380B93" w:rsidRPr="00933C60" w:rsidRDefault="00933C60" w:rsidP="00AB1D31">
      <w:pPr>
        <w:ind w:firstLine="0"/>
        <w:rPr>
          <w:lang w:val="en-US"/>
        </w:rPr>
      </w:pPr>
      <w:r w:rsidRPr="00933C60">
        <w:rPr>
          <w:lang w:val="en-US"/>
        </w:rPr>
        <w:t>Information on new openings can be found at:</w:t>
      </w:r>
    </w:p>
    <w:p w14:paraId="0CE8D485" w14:textId="02CB7357" w:rsidR="00933C60" w:rsidRPr="00933C60" w:rsidRDefault="00933C60" w:rsidP="00AB1D31">
      <w:pPr>
        <w:ind w:firstLine="0"/>
        <w:rPr>
          <w:color w:val="E52236" w:themeColor="accent1"/>
          <w:lang w:val="en-US"/>
        </w:rPr>
      </w:pPr>
      <w:hyperlink r:id="rId13" w:history="1">
        <w:r w:rsidRPr="00933C60">
          <w:rPr>
            <w:rStyle w:val="Hyperlink"/>
            <w:rFonts w:ascii="Graphik LCG TT Light" w:hAnsi="Graphik LCG TT Light"/>
            <w:lang w:val="en-US"/>
          </w:rPr>
          <w:t>https://meeting.vienna.info/en/current/news-en</w:t>
        </w:r>
      </w:hyperlink>
      <w:r w:rsidRPr="00933C60">
        <w:rPr>
          <w:color w:val="E52236" w:themeColor="accent1"/>
          <w:lang w:val="en-US"/>
        </w:rPr>
        <w:t xml:space="preserve"> </w:t>
      </w:r>
    </w:p>
    <w:p w14:paraId="3CD49C88" w14:textId="77777777" w:rsidR="00933C60" w:rsidRPr="00E7088C" w:rsidRDefault="00933C60" w:rsidP="00AB1D31">
      <w:pPr>
        <w:ind w:firstLine="0"/>
        <w:rPr>
          <w:lang w:val="en-US"/>
        </w:rPr>
      </w:pPr>
    </w:p>
    <w:p w14:paraId="64DDE9C5" w14:textId="53858D32" w:rsidR="00AB1D31" w:rsidRPr="00E7088C" w:rsidRDefault="00AB1D31" w:rsidP="00AB1D31">
      <w:pPr>
        <w:ind w:firstLine="0"/>
        <w:rPr>
          <w:lang w:val="en-US"/>
        </w:rPr>
      </w:pPr>
      <w:r w:rsidRPr="00E7088C">
        <w:rPr>
          <w:lang w:val="en-US"/>
        </w:rPr>
        <w:t xml:space="preserve">The </w:t>
      </w:r>
      <w:r w:rsidR="00D75617">
        <w:rPr>
          <w:lang w:val="en-US"/>
        </w:rPr>
        <w:t xml:space="preserve">Vienna Convention Bureau’s </w:t>
      </w:r>
      <w:r w:rsidRPr="00E7088C">
        <w:rPr>
          <w:lang w:val="en-US"/>
        </w:rPr>
        <w:t>Venue Finder contains more details of meeting locations in Vienna (</w:t>
      </w:r>
      <w:hyperlink r:id="rId14" w:history="1">
        <w:r w:rsidRPr="00E7088C">
          <w:rPr>
            <w:rStyle w:val="Hyperlink"/>
            <w:rFonts w:ascii="Graphik LCG TT Light" w:hAnsi="Graphik LCG TT Light"/>
            <w:i/>
            <w:iCs/>
            <w:lang w:val="en-US"/>
          </w:rPr>
          <w:t>www.vienna.convention.at/en/venuefinder</w:t>
        </w:r>
      </w:hyperlink>
      <w:r w:rsidRPr="00E7088C">
        <w:rPr>
          <w:lang w:val="en-US"/>
        </w:rPr>
        <w:t>).</w:t>
      </w:r>
    </w:p>
    <w:p w14:paraId="2F2965ED" w14:textId="77777777" w:rsidR="00085E8C" w:rsidRPr="00E7088C" w:rsidRDefault="00085E8C" w:rsidP="00085E8C">
      <w:pPr>
        <w:ind w:firstLine="0"/>
        <w:rPr>
          <w:lang w:val="en-US"/>
        </w:rPr>
      </w:pPr>
    </w:p>
    <w:p w14:paraId="34AEECF5" w14:textId="1D0C39DA" w:rsidR="00085E8C" w:rsidRPr="00E7088C" w:rsidRDefault="00085E8C" w:rsidP="00085E8C">
      <w:pPr>
        <w:ind w:firstLine="0"/>
        <w:rPr>
          <w:b/>
          <w:bCs/>
          <w:color w:val="E52236" w:themeColor="accent1"/>
          <w:lang w:val="en-US"/>
        </w:rPr>
      </w:pPr>
      <w:hyperlink r:id="rId15" w:history="1">
        <w:r w:rsidRPr="00E7088C">
          <w:rPr>
            <w:rStyle w:val="Hyperlink"/>
            <w:rFonts w:ascii="Graphik LCG TT Light" w:hAnsi="Graphik LCG TT Light"/>
            <w:b/>
            <w:bCs/>
            <w:lang w:val="en-US"/>
          </w:rPr>
          <w:t>Incentives and social programs</w:t>
        </w:r>
      </w:hyperlink>
    </w:p>
    <w:p w14:paraId="0C834A95" w14:textId="0DDEE473" w:rsidR="00085E8C" w:rsidRDefault="00085E8C" w:rsidP="00085E8C">
      <w:pPr>
        <w:ind w:firstLine="0"/>
        <w:rPr>
          <w:lang w:val="en-US"/>
        </w:rPr>
      </w:pPr>
      <w:r w:rsidRPr="00E7088C">
        <w:rPr>
          <w:lang w:val="en-US"/>
        </w:rPr>
        <w:t xml:space="preserve">There are also countless opportunities for networking and boosting motivation among participants beyond the city's meeting rooms. The options are seemingly endless – and in many cases quintessentially Viennese. </w:t>
      </w:r>
    </w:p>
    <w:p w14:paraId="3AEEB9F6" w14:textId="77777777" w:rsidR="00D75617" w:rsidRPr="00E7088C" w:rsidRDefault="00D75617" w:rsidP="00085E8C">
      <w:pPr>
        <w:ind w:firstLine="0"/>
        <w:rPr>
          <w:lang w:val="en-US"/>
        </w:rPr>
      </w:pPr>
    </w:p>
    <w:p w14:paraId="6A86EA24" w14:textId="27F81F84" w:rsidR="00085E8C" w:rsidRPr="00E7088C" w:rsidRDefault="00085E8C" w:rsidP="00085E8C">
      <w:pPr>
        <w:ind w:firstLine="0"/>
        <w:rPr>
          <w:lang w:val="en-US"/>
        </w:rPr>
      </w:pPr>
      <w:r w:rsidRPr="00E7088C">
        <w:rPr>
          <w:lang w:val="en-US"/>
        </w:rPr>
        <w:t xml:space="preserve">Special cookery courses reveal the secrets of Viennese cuisine. In one of numerous kitchen salons visitors can discover the knack behind the perfect </w:t>
      </w:r>
      <w:proofErr w:type="spellStart"/>
      <w:r w:rsidRPr="00E7088C">
        <w:rPr>
          <w:lang w:val="en-US"/>
        </w:rPr>
        <w:t>Tafelspitz</w:t>
      </w:r>
      <w:proofErr w:type="spellEnd"/>
      <w:r w:rsidRPr="00E7088C">
        <w:rPr>
          <w:lang w:val="en-US"/>
        </w:rPr>
        <w:t xml:space="preserve">, Wiener Schnitzel and classic Viennese soup. Elsewhere, they can learn to dance in three-four time at an exclusive waltz lesson hosted by one of the capital’s best-known dance schools. A treasure hunt at the </w:t>
      </w:r>
      <w:proofErr w:type="spellStart"/>
      <w:r w:rsidRPr="00E7088C">
        <w:rPr>
          <w:lang w:val="en-US"/>
        </w:rPr>
        <w:t>Kunsthistorisches</w:t>
      </w:r>
      <w:proofErr w:type="spellEnd"/>
      <w:r w:rsidRPr="00E7088C">
        <w:rPr>
          <w:lang w:val="en-US"/>
        </w:rPr>
        <w:t xml:space="preserve"> Museum Wien offers plenty of opportunity for team building among the exhibits – some of which date back thousands of years. Private performances in the Spanish Riding School provide an exclusive look behind the scenes as the riders talk about breeding programs, their work and training, and caring for the </w:t>
      </w:r>
      <w:r w:rsidR="00E7088C" w:rsidRPr="00E7088C">
        <w:rPr>
          <w:lang w:val="en-US"/>
        </w:rPr>
        <w:t>Lipizzaner</w:t>
      </w:r>
      <w:r w:rsidRPr="00E7088C">
        <w:rPr>
          <w:lang w:val="en-US"/>
        </w:rPr>
        <w:t>.</w:t>
      </w:r>
    </w:p>
    <w:p w14:paraId="53923354" w14:textId="1EBB1159" w:rsidR="000E18B9" w:rsidRPr="00E7088C" w:rsidRDefault="000E18B9" w:rsidP="00085E8C">
      <w:pPr>
        <w:ind w:firstLine="0"/>
        <w:rPr>
          <w:lang w:val="en-US"/>
        </w:rPr>
      </w:pPr>
    </w:p>
    <w:p w14:paraId="7FEFCCC6" w14:textId="5FB0A3A8" w:rsidR="00085E8C" w:rsidRPr="00E7088C" w:rsidRDefault="00D36E40" w:rsidP="00085E8C">
      <w:pPr>
        <w:ind w:firstLine="0"/>
        <w:rPr>
          <w:lang w:val="en-US"/>
        </w:rPr>
      </w:pPr>
      <w:r w:rsidRPr="00E7088C">
        <w:rPr>
          <w:lang w:val="en-US"/>
        </w:rPr>
        <w:t xml:space="preserve">Vienna </w:t>
      </w:r>
      <w:r w:rsidR="00D75617">
        <w:rPr>
          <w:lang w:val="en-US"/>
        </w:rPr>
        <w:t xml:space="preserve">also </w:t>
      </w:r>
      <w:r w:rsidRPr="00E7088C">
        <w:rPr>
          <w:lang w:val="en-US"/>
        </w:rPr>
        <w:t xml:space="preserve">offers many opportunities to place sustainability and social commitment at the </w:t>
      </w:r>
      <w:r w:rsidR="00E7088C" w:rsidRPr="00E7088C">
        <w:rPr>
          <w:lang w:val="en-US"/>
        </w:rPr>
        <w:t>center</w:t>
      </w:r>
      <w:r w:rsidRPr="00E7088C">
        <w:rPr>
          <w:lang w:val="en-US"/>
        </w:rPr>
        <w:t xml:space="preserve"> of accompanying programs. How about social impact workshops, social city tours or community cooking? If the focus is on art and culture, the range extends from guided photo-instant tours to graffiti sessions or art workshops in museums where </w:t>
      </w:r>
      <w:r w:rsidR="00085E8C" w:rsidRPr="00E7088C">
        <w:rPr>
          <w:lang w:val="en-US"/>
        </w:rPr>
        <w:t>visitors can try their hand at screen printing and applying gold leaf.</w:t>
      </w:r>
      <w:r w:rsidRPr="00E7088C">
        <w:rPr>
          <w:lang w:val="en-US"/>
        </w:rPr>
        <w:t xml:space="preserve"> </w:t>
      </w:r>
      <w:r w:rsidR="00085E8C" w:rsidRPr="00E7088C">
        <w:rPr>
          <w:lang w:val="en-US"/>
        </w:rPr>
        <w:t xml:space="preserve">Sporty visitors can explore the city’s most popular attractions on the Vienna Sight Run, a classic jogging tour of the old town. Various outdoor facilities in the Wienerwald, on the Danube Island or the Prater ensure there are plenty of opportunities for fun </w:t>
      </w:r>
      <w:r w:rsidR="00085E8C" w:rsidRPr="00E7088C">
        <w:rPr>
          <w:lang w:val="en-US"/>
        </w:rPr>
        <w:lastRenderedPageBreak/>
        <w:t>and excitement with activities including treetop trails, sailing or rowing, hot air balloon trips, curling and much more besides.</w:t>
      </w:r>
    </w:p>
    <w:p w14:paraId="21F7A177" w14:textId="77777777" w:rsidR="00085E8C" w:rsidRPr="00E7088C" w:rsidRDefault="00085E8C" w:rsidP="00085E8C">
      <w:pPr>
        <w:ind w:firstLine="0"/>
        <w:rPr>
          <w:lang w:val="en-US"/>
        </w:rPr>
      </w:pPr>
    </w:p>
    <w:p w14:paraId="2D8FC570" w14:textId="23D0F299" w:rsidR="00085E8C" w:rsidRPr="00E7088C" w:rsidRDefault="00085E8C" w:rsidP="00085E8C">
      <w:pPr>
        <w:ind w:firstLine="0"/>
        <w:rPr>
          <w:b/>
          <w:bCs/>
          <w:color w:val="E52236" w:themeColor="accent1"/>
          <w:lang w:val="en-US"/>
        </w:rPr>
      </w:pPr>
      <w:r w:rsidRPr="00E7088C">
        <w:rPr>
          <w:b/>
          <w:bCs/>
          <w:color w:val="E52236" w:themeColor="accent1"/>
          <w:lang w:val="en-US"/>
        </w:rPr>
        <w:t>Livable, international city</w:t>
      </w:r>
    </w:p>
    <w:p w14:paraId="3BF3C560" w14:textId="5596C75A" w:rsidR="00085E8C" w:rsidRPr="00D14499" w:rsidRDefault="00085E8C" w:rsidP="00085E8C">
      <w:pPr>
        <w:ind w:firstLine="0"/>
        <w:rPr>
          <w:highlight w:val="yellow"/>
          <w:lang w:val="en-US"/>
        </w:rPr>
      </w:pPr>
      <w:r w:rsidRPr="00E7088C">
        <w:rPr>
          <w:lang w:val="en-US"/>
        </w:rPr>
        <w:t xml:space="preserve">Members of Vienna’s expatriate community award the city top marks. Each year the international consultants at Mercer conduct a quality of life survey in 231 major cities worldwide, in a process that also involves interviews with expatriates. The Mercer Quality of Living Survey takes in areas including the political, social and economic climate, medical services, education and infrastructure facilities, power and water utilities. </w:t>
      </w:r>
      <w:r w:rsidR="00D14499" w:rsidRPr="00D14499">
        <w:rPr>
          <w:lang w:val="en-US"/>
        </w:rPr>
        <w:t xml:space="preserve">In 2024, Vienna -️ this time in second place behind Zurich -️, demonstrating that the city continues to lead the world when it comes to urban living at the highest level, scoring points above all for its excellent medical care and varied cultural and leisure offerings. The renowned British news magazine “The Economist” has also named Vienna the most </w:t>
      </w:r>
      <w:proofErr w:type="spellStart"/>
      <w:r w:rsidR="00D14499" w:rsidRPr="00D14499">
        <w:rPr>
          <w:lang w:val="en-US"/>
        </w:rPr>
        <w:t>liveable</w:t>
      </w:r>
      <w:proofErr w:type="spellEnd"/>
      <w:r w:rsidR="00D14499" w:rsidRPr="00D14499">
        <w:rPr>
          <w:lang w:val="en-US"/>
        </w:rPr>
        <w:t xml:space="preserve"> city in the world for the fourth time in 2023 (EIU </w:t>
      </w:r>
      <w:proofErr w:type="spellStart"/>
      <w:r w:rsidR="00D14499" w:rsidRPr="00D14499">
        <w:rPr>
          <w:lang w:val="en-US"/>
        </w:rPr>
        <w:t>Liveability</w:t>
      </w:r>
      <w:proofErr w:type="spellEnd"/>
      <w:r w:rsidR="00D14499" w:rsidRPr="00D14499">
        <w:rPr>
          <w:lang w:val="en-US"/>
        </w:rPr>
        <w:t xml:space="preserve"> Ranking).</w:t>
      </w:r>
    </w:p>
    <w:p w14:paraId="039B6A47" w14:textId="77777777" w:rsidR="00085E8C" w:rsidRPr="00E7088C" w:rsidRDefault="00085E8C" w:rsidP="00085E8C">
      <w:pPr>
        <w:ind w:firstLine="0"/>
        <w:rPr>
          <w:lang w:val="en-US"/>
        </w:rPr>
      </w:pPr>
    </w:p>
    <w:p w14:paraId="12033AE5" w14:textId="52E36738" w:rsidR="00085E8C" w:rsidRPr="00E7088C" w:rsidRDefault="00085E8C" w:rsidP="00085E8C">
      <w:pPr>
        <w:ind w:firstLine="0"/>
        <w:rPr>
          <w:lang w:val="en-US"/>
        </w:rPr>
      </w:pPr>
      <w:r w:rsidRPr="00E7088C">
        <w:rPr>
          <w:lang w:val="en-US"/>
        </w:rPr>
        <w:t>Vienna is not just a city that offers exceptional quality of life, it is also a base for countless international organizations and companies. The UN made the Austrian capital one of its four headquarter cities. It is home to</w:t>
      </w:r>
      <w:r w:rsidR="00933C60">
        <w:rPr>
          <w:lang w:val="en-US"/>
        </w:rPr>
        <w:t xml:space="preserve"> around 50 </w:t>
      </w:r>
      <w:r w:rsidR="00C63C7F" w:rsidRPr="00E7088C">
        <w:rPr>
          <w:lang w:val="en-US"/>
        </w:rPr>
        <w:t xml:space="preserve">intergovernmental organizations </w:t>
      </w:r>
      <w:r w:rsidRPr="00E7088C">
        <w:rPr>
          <w:lang w:val="en-US"/>
        </w:rPr>
        <w:t xml:space="preserve">(including the IAEO and OPEC) and the Central and Eastern European headquarters of numerous multinational companies. </w:t>
      </w:r>
    </w:p>
    <w:p w14:paraId="75EAF648" w14:textId="77777777" w:rsidR="0007507D" w:rsidRPr="00E7088C" w:rsidRDefault="0007507D" w:rsidP="00085E8C">
      <w:pPr>
        <w:ind w:firstLine="0"/>
        <w:rPr>
          <w:lang w:val="en-US"/>
        </w:rPr>
      </w:pPr>
    </w:p>
    <w:p w14:paraId="0630271F" w14:textId="7C48DAEA" w:rsidR="00085E8C" w:rsidRPr="00E7088C" w:rsidRDefault="00085E8C" w:rsidP="00085E8C">
      <w:pPr>
        <w:ind w:firstLine="0"/>
        <w:rPr>
          <w:b/>
          <w:bCs/>
          <w:color w:val="E52236" w:themeColor="accent1"/>
          <w:lang w:val="en-US"/>
        </w:rPr>
      </w:pPr>
      <w:r w:rsidRPr="00E7088C">
        <w:rPr>
          <w:b/>
          <w:bCs/>
          <w:color w:val="E52236" w:themeColor="accent1"/>
          <w:lang w:val="en-US"/>
        </w:rPr>
        <w:t>Research center and knowledge city</w:t>
      </w:r>
    </w:p>
    <w:p w14:paraId="03371152" w14:textId="6A9ECEF4" w:rsidR="00085E8C" w:rsidRPr="00E7088C" w:rsidRDefault="00085E8C" w:rsidP="00085E8C">
      <w:pPr>
        <w:ind w:firstLine="0"/>
        <w:rPr>
          <w:lang w:val="en-US"/>
        </w:rPr>
      </w:pPr>
      <w:r w:rsidRPr="00E7088C">
        <w:rPr>
          <w:lang w:val="en-US"/>
        </w:rPr>
        <w:t>Vienna owes much of its attractiveness to its role as a research location and knowledge center. The city targets investment in research and technology projects with a focus on IT and communications technology, life sciences, energy and the environment, mobility and construction and urban production. Vienna leads the way in Europe when it comes to research spending.</w:t>
      </w:r>
      <w:r w:rsidR="00B25834" w:rsidRPr="00B25834">
        <w:rPr>
          <w:lang w:val="en-US"/>
        </w:rPr>
        <w:t xml:space="preserve"> </w:t>
      </w:r>
      <w:r w:rsidR="00B25834" w:rsidRPr="00B25834">
        <w:rPr>
          <w:lang w:val="en-US"/>
        </w:rPr>
        <w:t>In total, more than 51,000 people work in research and development (2021).</w:t>
      </w:r>
      <w:r w:rsidR="00B25834">
        <w:rPr>
          <w:lang w:val="en-US"/>
        </w:rPr>
        <w:t xml:space="preserve"> </w:t>
      </w:r>
      <w:r w:rsidRPr="00E7088C">
        <w:rPr>
          <w:lang w:val="en-US"/>
        </w:rPr>
        <w:t>International groups such as Boehringer Ingelheim, Otto Bock and Siemens are all committed to Vienna. Many pioneering international R&amp;D achievements first saw the light of day in Viennese laboratories and spin-offs.</w:t>
      </w:r>
      <w:r w:rsidR="00DC3F57" w:rsidRPr="00E7088C">
        <w:rPr>
          <w:lang w:val="en-US"/>
        </w:rPr>
        <w:t xml:space="preserve"> </w:t>
      </w:r>
      <w:r w:rsidRPr="00E7088C">
        <w:rPr>
          <w:lang w:val="en-US"/>
        </w:rPr>
        <w:t xml:space="preserve">Vienna is an internationally respected and constantly growing location for life sciences. Researchers from all over the world are investigating the biological foundations of life at the Institute of Molecular Biotechnology (IMBA) of the Austrian Academy of Sciences. The focus of activities at the institute, which is located at the Vienna </w:t>
      </w:r>
      <w:proofErr w:type="spellStart"/>
      <w:r w:rsidRPr="00E7088C">
        <w:rPr>
          <w:lang w:val="en-US"/>
        </w:rPr>
        <w:t>BioCenter</w:t>
      </w:r>
      <w:proofErr w:type="spellEnd"/>
      <w:r w:rsidRPr="00E7088C">
        <w:rPr>
          <w:lang w:val="en-US"/>
        </w:rPr>
        <w:t xml:space="preserve"> biotech cluster, is on the molecular causes of lifestyle diseases.</w:t>
      </w:r>
    </w:p>
    <w:p w14:paraId="45C54669" w14:textId="77777777" w:rsidR="00085E8C" w:rsidRPr="00E7088C" w:rsidRDefault="00085E8C" w:rsidP="00085E8C">
      <w:pPr>
        <w:ind w:firstLine="0"/>
        <w:rPr>
          <w:highlight w:val="yellow"/>
          <w:lang w:val="en-US"/>
        </w:rPr>
      </w:pPr>
    </w:p>
    <w:p w14:paraId="72A033DB" w14:textId="14F210E3" w:rsidR="00085E8C" w:rsidRPr="00C95F2F" w:rsidRDefault="00B25834" w:rsidP="00085E8C">
      <w:pPr>
        <w:ind w:firstLine="0"/>
        <w:rPr>
          <w:highlight w:val="yellow"/>
          <w:lang w:val="en-US"/>
        </w:rPr>
      </w:pPr>
      <w:r w:rsidRPr="00B25834">
        <w:rPr>
          <w:lang w:val="en-US"/>
        </w:rPr>
        <w:t xml:space="preserve">With nine universities, nine universities of applied sciences and teacher training colleges, eight private universities and around 200,000 students, Vienna is one of the largest university cities in the German-speaking world. </w:t>
      </w:r>
      <w:r w:rsidR="00085E8C" w:rsidRPr="00C95F2F">
        <w:rPr>
          <w:lang w:val="en-US"/>
        </w:rPr>
        <w:t xml:space="preserve">Founded in 1365, the University of Vienna (Alma Mater </w:t>
      </w:r>
      <w:proofErr w:type="spellStart"/>
      <w:r w:rsidR="00085E8C" w:rsidRPr="00C95F2F">
        <w:rPr>
          <w:lang w:val="en-US"/>
        </w:rPr>
        <w:t>Rudolphina</w:t>
      </w:r>
      <w:proofErr w:type="spellEnd"/>
      <w:r w:rsidR="00085E8C" w:rsidRPr="00C95F2F">
        <w:rPr>
          <w:lang w:val="en-US"/>
        </w:rPr>
        <w:t xml:space="preserve"> </w:t>
      </w:r>
      <w:proofErr w:type="spellStart"/>
      <w:r w:rsidR="00085E8C" w:rsidRPr="00C95F2F">
        <w:rPr>
          <w:lang w:val="en-US"/>
        </w:rPr>
        <w:t>Vindobonensis</w:t>
      </w:r>
      <w:proofErr w:type="spellEnd"/>
      <w:r w:rsidR="00085E8C" w:rsidRPr="00C95F2F">
        <w:rPr>
          <w:lang w:val="en-US"/>
        </w:rPr>
        <w:t>) is one of the oldest and largest in Europe</w:t>
      </w:r>
      <w:r w:rsidR="00C95F2F" w:rsidRPr="00C95F2F">
        <w:rPr>
          <w:lang w:val="en-US"/>
        </w:rPr>
        <w:t>:</w:t>
      </w:r>
      <w:r w:rsidR="00C95F2F" w:rsidRPr="00C95F2F">
        <w:rPr>
          <w:lang w:val="en"/>
        </w:rPr>
        <w:t xml:space="preserve"> around 10,</w:t>
      </w:r>
      <w:r>
        <w:rPr>
          <w:lang w:val="en"/>
        </w:rPr>
        <w:t>7</w:t>
      </w:r>
      <w:r w:rsidR="00C95F2F" w:rsidRPr="00C95F2F">
        <w:rPr>
          <w:lang w:val="en"/>
        </w:rPr>
        <w:t>00 people including 7,500 academic staff work at its 20 faculties and centers. With more than 180 regular study programs to choose from, it also offers the nation’s widest variety of degree courses. Its focuses include data science and digital humanities, health and microbiome research, society and communications, molecular biology and cognitive neurosciences, and quantum and material science.</w:t>
      </w:r>
    </w:p>
    <w:p w14:paraId="570B85D3" w14:textId="77777777" w:rsidR="00085E8C" w:rsidRPr="00E7088C" w:rsidRDefault="00085E8C" w:rsidP="00085E8C">
      <w:pPr>
        <w:ind w:firstLine="0"/>
        <w:rPr>
          <w:highlight w:val="yellow"/>
          <w:lang w:val="en-US"/>
        </w:rPr>
      </w:pPr>
    </w:p>
    <w:p w14:paraId="622B26B5" w14:textId="77777777" w:rsidR="00085E8C" w:rsidRPr="00E7088C" w:rsidRDefault="00085E8C" w:rsidP="00085E8C">
      <w:pPr>
        <w:ind w:firstLine="0"/>
        <w:rPr>
          <w:lang w:val="en-US"/>
        </w:rPr>
      </w:pPr>
    </w:p>
    <w:p w14:paraId="70517E19" w14:textId="15F712FF" w:rsidR="00085E8C" w:rsidRPr="00E7088C" w:rsidRDefault="00085E8C" w:rsidP="00085E8C">
      <w:pPr>
        <w:ind w:firstLine="0"/>
        <w:rPr>
          <w:b/>
          <w:bCs/>
          <w:color w:val="E52236" w:themeColor="accent1"/>
          <w:lang w:val="en-US"/>
        </w:rPr>
      </w:pPr>
      <w:hyperlink r:id="rId16" w:history="1">
        <w:r w:rsidRPr="00E7088C">
          <w:rPr>
            <w:rStyle w:val="Hyperlink"/>
            <w:rFonts w:ascii="Graphik LCG TT Light" w:hAnsi="Graphik LCG TT Light"/>
            <w:b/>
            <w:bCs/>
            <w:lang w:val="en-US"/>
          </w:rPr>
          <w:t>Vienna Convention Bureau</w:t>
        </w:r>
      </w:hyperlink>
    </w:p>
    <w:p w14:paraId="36C04A52" w14:textId="39D97800" w:rsidR="00085E8C" w:rsidRPr="00E7088C" w:rsidRDefault="00085E8C" w:rsidP="00085E8C">
      <w:pPr>
        <w:ind w:firstLine="0"/>
        <w:rPr>
          <w:lang w:val="en-US"/>
        </w:rPr>
      </w:pPr>
      <w:r w:rsidRPr="00E7088C">
        <w:rPr>
          <w:lang w:val="en-US"/>
        </w:rPr>
        <w:t xml:space="preserve">The Vienna Convention Bureau (VCB), a department of the Vienna Tourist Board, acquires congresses, corporate events and incentives worldwide. Established in 1969, it is supported by the City of Vienna and the Vienna Chamber of Commerce. </w:t>
      </w:r>
    </w:p>
    <w:p w14:paraId="09EFEF14" w14:textId="77777777" w:rsidR="00085E8C" w:rsidRPr="00E7088C" w:rsidRDefault="00085E8C" w:rsidP="00085E8C">
      <w:pPr>
        <w:rPr>
          <w:lang w:val="en-US"/>
        </w:rPr>
      </w:pPr>
    </w:p>
    <w:p w14:paraId="54B38A16" w14:textId="40A780A5" w:rsidR="00085E8C" w:rsidRPr="00E7088C" w:rsidRDefault="00085E8C" w:rsidP="00085E8C">
      <w:pPr>
        <w:ind w:firstLine="0"/>
        <w:rPr>
          <w:lang w:val="en-US"/>
        </w:rPr>
      </w:pPr>
      <w:r w:rsidRPr="00E7088C">
        <w:rPr>
          <w:lang w:val="en-US"/>
        </w:rPr>
        <w:t>Vienna's meeting industry is represented by the "Meeting Destination Vienna". It is based on the service quality and expertise of the same and is communicated by the Vienna Convention Bureau. Meeting Destination Vienna is one of the three core action areas of Vienna Tourist Board's </w:t>
      </w:r>
      <w:hyperlink r:id="rId17" w:tgtFrame="_blank" w:history="1">
        <w:r w:rsidRPr="00E7088C">
          <w:rPr>
            <w:rStyle w:val="Hyperlink"/>
            <w:rFonts w:ascii="Graphik LCG TT Light" w:hAnsi="Graphik LCG TT Light"/>
            <w:lang w:val="en-US"/>
          </w:rPr>
          <w:t>Visitor Economy Strategy 2025</w:t>
        </w:r>
      </w:hyperlink>
      <w:r w:rsidRPr="00E7088C">
        <w:rPr>
          <w:lang w:val="en-US"/>
        </w:rPr>
        <w:t>. In addition, Meeting Destination Vienna is prominently anchored in the strategy "</w:t>
      </w:r>
      <w:hyperlink r:id="rId18" w:tgtFrame="_blank" w:history="1">
        <w:r w:rsidRPr="00E7088C">
          <w:rPr>
            <w:rStyle w:val="Hyperlink"/>
            <w:rFonts w:ascii="Graphik LCG TT Light" w:hAnsi="Graphik LCG TT Light"/>
            <w:lang w:val="en-US"/>
          </w:rPr>
          <w:t>Vienna 2030 - Economy &amp; Innovation</w:t>
        </w:r>
      </w:hyperlink>
      <w:r w:rsidRPr="00E7088C">
        <w:rPr>
          <w:lang w:val="en-US"/>
        </w:rPr>
        <w:t>" of the Federal Capital Vienna – as an essential component of the thematic area "Place of International Encounter" – one of a total of six areas of leadership that build on the existing strengths of the location and further expand them.</w:t>
      </w:r>
      <w:r w:rsidRPr="00E7088C">
        <w:rPr>
          <w:lang w:val="en-US"/>
        </w:rPr>
        <w:br/>
        <w:t xml:space="preserve">The Vienna Convention Bureau has set itself the task of promoting awareness on sustainable actions in the sector and supports initiatives and projects on the topics of Green Meetings, sustainability and corporate social responsibility. </w:t>
      </w:r>
    </w:p>
    <w:p w14:paraId="06C55433" w14:textId="77777777" w:rsidR="00085E8C" w:rsidRPr="00E7088C" w:rsidRDefault="00085E8C" w:rsidP="00085E8C">
      <w:pPr>
        <w:rPr>
          <w:lang w:val="en-US"/>
        </w:rPr>
      </w:pPr>
    </w:p>
    <w:p w14:paraId="5B3BD2B6" w14:textId="43452CF2" w:rsidR="00085E8C" w:rsidRDefault="00085E8C" w:rsidP="00085E8C">
      <w:pPr>
        <w:ind w:firstLine="0"/>
        <w:rPr>
          <w:lang w:val="en-US"/>
        </w:rPr>
      </w:pPr>
      <w:r w:rsidRPr="00E7088C">
        <w:rPr>
          <w:lang w:val="en-US"/>
        </w:rPr>
        <w:t>The activities of the Vienna Convention Bureau include the acquisition of national and international association congresses, corporate events and incentives, as well as the servicing of meeting planners. In addition to international marketing, the Vienna Convention Bureau also acts as a funding agency for the </w:t>
      </w:r>
      <w:hyperlink r:id="rId19" w:history="1">
        <w:r w:rsidRPr="00FE1FE7">
          <w:rPr>
            <w:rStyle w:val="Hyperlink"/>
            <w:rFonts w:ascii="Graphik LCG TT Light" w:hAnsi="Graphik LCG TT Light"/>
            <w:lang w:val="en-US"/>
          </w:rPr>
          <w:t>Vienna Meeting Fund 202</w:t>
        </w:r>
        <w:r w:rsidR="00FE1FE7" w:rsidRPr="00FE1FE7">
          <w:rPr>
            <w:rStyle w:val="Hyperlink"/>
            <w:rFonts w:ascii="Graphik LCG TT Light" w:hAnsi="Graphik LCG TT Light"/>
            <w:lang w:val="en-US"/>
          </w:rPr>
          <w:t>5</w:t>
        </w:r>
        <w:r w:rsidRPr="00FE1FE7">
          <w:rPr>
            <w:rStyle w:val="Hyperlink"/>
            <w:rFonts w:ascii="Graphik LCG TT Light" w:hAnsi="Graphik LCG TT Light"/>
            <w:lang w:val="en-US"/>
          </w:rPr>
          <w:t>-202</w:t>
        </w:r>
        <w:r w:rsidR="00FE1FE7" w:rsidRPr="00FE1FE7">
          <w:rPr>
            <w:rStyle w:val="Hyperlink"/>
            <w:rFonts w:ascii="Graphik LCG TT Light" w:hAnsi="Graphik LCG TT Light"/>
            <w:lang w:val="en-US"/>
          </w:rPr>
          <w:t>8</w:t>
        </w:r>
      </w:hyperlink>
      <w:r w:rsidRPr="00E7088C">
        <w:rPr>
          <w:lang w:val="en-US"/>
        </w:rPr>
        <w:t xml:space="preserve"> publishes the annual </w:t>
      </w:r>
      <w:hyperlink r:id="rId20" w:tgtFrame="_self" w:history="1">
        <w:r w:rsidRPr="00E7088C">
          <w:rPr>
            <w:rStyle w:val="Hyperlink"/>
            <w:rFonts w:ascii="Graphik LCG TT Light" w:hAnsi="Graphik LCG TT Light"/>
            <w:lang w:val="en-US"/>
          </w:rPr>
          <w:t>Vienna Meeting Industry Report</w:t>
        </w:r>
      </w:hyperlink>
      <w:r w:rsidRPr="00E7088C">
        <w:rPr>
          <w:lang w:val="en-US"/>
        </w:rPr>
        <w:t>.</w:t>
      </w:r>
    </w:p>
    <w:p w14:paraId="495B19A0" w14:textId="77777777" w:rsidR="00FE1FE7" w:rsidRDefault="00FE1FE7" w:rsidP="00085E8C">
      <w:pPr>
        <w:ind w:firstLine="0"/>
        <w:rPr>
          <w:lang w:val="en-US"/>
        </w:rPr>
      </w:pPr>
    </w:p>
    <w:p w14:paraId="62421D94" w14:textId="77777777" w:rsidR="00FE1FE7" w:rsidRPr="00FE1FE7" w:rsidRDefault="00FE1FE7" w:rsidP="00FE1FE7">
      <w:pPr>
        <w:ind w:firstLine="0"/>
        <w:rPr>
          <w:lang w:val="en-US"/>
        </w:rPr>
      </w:pPr>
      <w:r w:rsidRPr="00FE1FE7">
        <w:rPr>
          <w:lang w:val="en-US"/>
        </w:rPr>
        <w:t>The work of the VCB, the comprehensive range of services offered by the meeting service providers and the long-standing and well-functioning networking between these players is one of the key success factors for Vienna as a meeting destination. There is also good cooperation with the national carrier Austrian Airlines and the opportunity to take advantage of special conditions.</w:t>
      </w:r>
    </w:p>
    <w:p w14:paraId="1D75A8BC" w14:textId="77777777" w:rsidR="00FE1FE7" w:rsidRPr="00FE1FE7" w:rsidRDefault="00FE1FE7" w:rsidP="00FE1FE7">
      <w:pPr>
        <w:ind w:firstLine="0"/>
        <w:rPr>
          <w:lang w:val="en-US"/>
        </w:rPr>
      </w:pPr>
    </w:p>
    <w:p w14:paraId="45D6F256" w14:textId="7347A621" w:rsidR="00FE1FE7" w:rsidRPr="00FE1FE7" w:rsidRDefault="00FE1FE7" w:rsidP="00FE1FE7">
      <w:pPr>
        <w:ind w:firstLine="0"/>
        <w:rPr>
          <w:lang w:val="en-US"/>
        </w:rPr>
      </w:pPr>
      <w:r w:rsidRPr="00FE1FE7">
        <w:rPr>
          <w:lang w:val="en-US"/>
        </w:rPr>
        <w:t xml:space="preserve">The VCB website </w:t>
      </w:r>
      <w:hyperlink r:id="rId21" w:history="1">
        <w:r w:rsidRPr="00CC4240">
          <w:rPr>
            <w:rStyle w:val="Hyperlink"/>
            <w:rFonts w:ascii="Graphik LCG TT Light" w:hAnsi="Graphik LCG TT Light"/>
            <w:lang w:val="en-US"/>
          </w:rPr>
          <w:t>https://meeting.vienna.info/en</w:t>
        </w:r>
      </w:hyperlink>
      <w:r>
        <w:rPr>
          <w:lang w:val="en-US"/>
        </w:rPr>
        <w:t xml:space="preserve"> </w:t>
      </w:r>
      <w:r w:rsidRPr="00FE1FE7">
        <w:rPr>
          <w:lang w:val="en-US"/>
        </w:rPr>
        <w:t>offers a list of Viennese venues (“Venue Finder”) as well as a preview of meetings taking place in Vienna (“Meeting Calendar”).</w:t>
      </w:r>
    </w:p>
    <w:p w14:paraId="210F7413" w14:textId="77777777" w:rsidR="00085E8C" w:rsidRDefault="00085E8C" w:rsidP="00085E8C">
      <w:pPr>
        <w:rPr>
          <w:lang w:val="en-US"/>
        </w:rPr>
      </w:pPr>
    </w:p>
    <w:p w14:paraId="67594928" w14:textId="77777777" w:rsidR="00FE1FE7" w:rsidRPr="00E7088C" w:rsidRDefault="00FE1FE7" w:rsidP="00085E8C">
      <w:pPr>
        <w:rPr>
          <w:lang w:val="en-US"/>
        </w:rPr>
      </w:pPr>
    </w:p>
    <w:p w14:paraId="68E4BC37" w14:textId="77777777" w:rsidR="00085E8C" w:rsidRPr="00E7088C" w:rsidRDefault="00085E8C" w:rsidP="00085E8C">
      <w:pPr>
        <w:ind w:firstLine="0"/>
        <w:rPr>
          <w:b/>
          <w:bCs/>
          <w:color w:val="E52236" w:themeColor="accent1"/>
          <w:lang w:val="en-US"/>
        </w:rPr>
      </w:pPr>
      <w:r w:rsidRPr="00E7088C">
        <w:rPr>
          <w:b/>
          <w:bCs/>
          <w:color w:val="E52236" w:themeColor="accent1"/>
          <w:lang w:val="en-US"/>
        </w:rPr>
        <w:t>Facts &amp; Figures</w:t>
      </w:r>
    </w:p>
    <w:p w14:paraId="2A15767A" w14:textId="77777777" w:rsidR="00085E8C" w:rsidRPr="00E7088C" w:rsidRDefault="00085E8C" w:rsidP="00085E8C">
      <w:pPr>
        <w:ind w:firstLine="0"/>
        <w:rPr>
          <w:b/>
          <w:lang w:val="en-US"/>
        </w:rPr>
      </w:pPr>
      <w:r w:rsidRPr="00E7088C">
        <w:rPr>
          <w:b/>
          <w:bCs/>
          <w:lang w:val="en-US"/>
        </w:rPr>
        <w:t>Vienna as a meetings destination</w:t>
      </w:r>
    </w:p>
    <w:p w14:paraId="146F00C3" w14:textId="3212C0A7" w:rsidR="00085E8C" w:rsidRPr="00E7088C" w:rsidRDefault="00085E8C" w:rsidP="00085E8C">
      <w:pPr>
        <w:pStyle w:val="Aufzhlung"/>
      </w:pPr>
      <w:r w:rsidRPr="00E7088C">
        <w:t>Central, easy-to-reach location in the heart of Europe, convenient flights, short distance from the airport to the city center</w:t>
      </w:r>
    </w:p>
    <w:p w14:paraId="017CF589" w14:textId="3D813480" w:rsidR="00085E8C" w:rsidRPr="00E7088C" w:rsidRDefault="00085E8C" w:rsidP="00085E8C">
      <w:pPr>
        <w:pStyle w:val="Aufzhlung"/>
      </w:pPr>
      <w:r w:rsidRPr="00E7088C">
        <w:t>Safe, clean, green, sustainable, smart and convenient, pedestrian friendly</w:t>
      </w:r>
    </w:p>
    <w:p w14:paraId="31E44131" w14:textId="0908B8E9" w:rsidR="00085E8C" w:rsidRPr="00E7088C" w:rsidRDefault="00085E8C" w:rsidP="00085E8C">
      <w:pPr>
        <w:pStyle w:val="Aufzhlung"/>
      </w:pPr>
      <w:r w:rsidRPr="00E7088C">
        <w:t>Short distances between amenities and attractions, reliable infrastructure and an excellent public transportation network</w:t>
      </w:r>
    </w:p>
    <w:p w14:paraId="1CA5C607" w14:textId="789C46B8" w:rsidR="00085E8C" w:rsidRPr="00E7088C" w:rsidRDefault="00085E8C" w:rsidP="00085E8C">
      <w:pPr>
        <w:pStyle w:val="Aufzhlung"/>
      </w:pPr>
      <w:r w:rsidRPr="00E7088C">
        <w:t>Outstanding range of art and culture with more than 100 museums and collections</w:t>
      </w:r>
    </w:p>
    <w:p w14:paraId="6B182899" w14:textId="18DA6381" w:rsidR="00FE1FE7" w:rsidRDefault="00FE1FE7" w:rsidP="00085E8C">
      <w:pPr>
        <w:pStyle w:val="Aufzhlung"/>
        <w:rPr>
          <w:rStyle w:val="Fett"/>
          <w:b w:val="0"/>
          <w:bCs w:val="0"/>
        </w:rPr>
      </w:pPr>
      <w:r w:rsidRPr="00FE1FE7">
        <w:rPr>
          <w:rStyle w:val="Fett"/>
          <w:b w:val="0"/>
          <w:bCs w:val="0"/>
        </w:rPr>
        <w:t xml:space="preserve">The Economist Intelligence Unit has named Vienna the world's most </w:t>
      </w:r>
      <w:proofErr w:type="spellStart"/>
      <w:r w:rsidRPr="00FE1FE7">
        <w:rPr>
          <w:rStyle w:val="Fett"/>
          <w:b w:val="0"/>
          <w:bCs w:val="0"/>
        </w:rPr>
        <w:t>liveable</w:t>
      </w:r>
      <w:proofErr w:type="spellEnd"/>
      <w:r w:rsidRPr="00FE1FE7">
        <w:rPr>
          <w:rStyle w:val="Fett"/>
          <w:b w:val="0"/>
          <w:bCs w:val="0"/>
        </w:rPr>
        <w:t xml:space="preserve"> city in 2024 for the third time in a row</w:t>
      </w:r>
    </w:p>
    <w:p w14:paraId="13F6DBB4" w14:textId="7EC1C7BA" w:rsidR="00085E8C" w:rsidRPr="00E7088C" w:rsidRDefault="00085E8C" w:rsidP="00085E8C">
      <w:pPr>
        <w:pStyle w:val="Aufzhlung"/>
      </w:pPr>
      <w:r w:rsidRPr="00E7088C">
        <w:lastRenderedPageBreak/>
        <w:t>Central and Eastern European HQ for more than 200 multinational corporate groups, UN headquarters, the second largest university town in the German-speaking world</w:t>
      </w:r>
    </w:p>
    <w:p w14:paraId="00575648" w14:textId="77777777" w:rsidR="00085E8C" w:rsidRPr="00E7088C" w:rsidRDefault="00085E8C" w:rsidP="00085E8C">
      <w:pPr>
        <w:rPr>
          <w:lang w:val="en-US"/>
        </w:rPr>
      </w:pPr>
    </w:p>
    <w:p w14:paraId="3195C7BC" w14:textId="77777777" w:rsidR="00085E8C" w:rsidRPr="00E7088C" w:rsidRDefault="00085E8C" w:rsidP="00085E8C">
      <w:pPr>
        <w:ind w:firstLine="0"/>
        <w:rPr>
          <w:b/>
          <w:lang w:val="en-US"/>
        </w:rPr>
      </w:pPr>
      <w:r w:rsidRPr="00E7088C">
        <w:rPr>
          <w:b/>
          <w:bCs/>
          <w:lang w:val="en-US"/>
        </w:rPr>
        <w:t>Vienna’s meetings infrastructure:</w:t>
      </w:r>
    </w:p>
    <w:p w14:paraId="5A1C42A3" w14:textId="54D03100" w:rsidR="00085E8C" w:rsidRPr="00E7088C" w:rsidRDefault="00085E8C" w:rsidP="00085E8C">
      <w:pPr>
        <w:pStyle w:val="Aufzhlung"/>
      </w:pPr>
      <w:r w:rsidRPr="00E7088C">
        <w:t>3 convention centers, about 100 meetings hotels and more than 1</w:t>
      </w:r>
      <w:r w:rsidR="00B25834">
        <w:t>6</w:t>
      </w:r>
      <w:r w:rsidRPr="00E7088C">
        <w:t>0 other venues many of which are in a class of their own</w:t>
      </w:r>
    </w:p>
    <w:p w14:paraId="093554CD" w14:textId="12147D69" w:rsidR="00085E8C" w:rsidRPr="00E7088C" w:rsidRDefault="00AD39C9" w:rsidP="00085E8C">
      <w:pPr>
        <w:pStyle w:val="Aufzhlung"/>
      </w:pPr>
      <w:r>
        <w:t xml:space="preserve">about </w:t>
      </w:r>
      <w:r w:rsidR="000F1EAF">
        <w:t>4</w:t>
      </w:r>
      <w:r w:rsidR="00B25834">
        <w:t>33</w:t>
      </w:r>
      <w:r w:rsidR="00085E8C" w:rsidRPr="00E7088C">
        <w:t xml:space="preserve"> hotels with more than </w:t>
      </w:r>
      <w:r w:rsidR="00B25834">
        <w:t>40</w:t>
      </w:r>
      <w:r w:rsidR="00085E8C" w:rsidRPr="00E7088C">
        <w:t>,</w:t>
      </w:r>
      <w:r w:rsidR="00B25834">
        <w:t>885</w:t>
      </w:r>
      <w:r w:rsidR="00085E8C" w:rsidRPr="00E7088C">
        <w:t xml:space="preserve"> rooms</w:t>
      </w:r>
    </w:p>
    <w:p w14:paraId="5E02F5B7" w14:textId="77777777" w:rsidR="00085E8C" w:rsidRPr="00E7088C" w:rsidRDefault="00085E8C" w:rsidP="00085E8C">
      <w:pPr>
        <w:rPr>
          <w:lang w:val="en-US"/>
        </w:rPr>
      </w:pPr>
    </w:p>
    <w:p w14:paraId="329964FE" w14:textId="77777777" w:rsidR="00085E8C" w:rsidRPr="00E7088C" w:rsidRDefault="00085E8C" w:rsidP="00085E8C">
      <w:pPr>
        <w:ind w:firstLine="0"/>
        <w:rPr>
          <w:b/>
          <w:lang w:val="en-US"/>
        </w:rPr>
      </w:pPr>
      <w:r w:rsidRPr="00E7088C">
        <w:rPr>
          <w:b/>
          <w:bCs/>
          <w:lang w:val="en-US"/>
        </w:rPr>
        <w:t>Vienna’s standing as a top meetings destination:</w:t>
      </w:r>
    </w:p>
    <w:p w14:paraId="41C43340" w14:textId="31FC146B" w:rsidR="00085E8C" w:rsidRPr="00E7088C" w:rsidRDefault="00DC3F57" w:rsidP="00085E8C">
      <w:pPr>
        <w:pStyle w:val="Aufzhlung"/>
      </w:pPr>
      <w:r w:rsidRPr="00E7088C">
        <w:t>#1</w:t>
      </w:r>
      <w:r w:rsidR="00085E8C" w:rsidRPr="00E7088C">
        <w:t xml:space="preserve"> in the 202</w:t>
      </w:r>
      <w:r w:rsidR="00B25834">
        <w:t>4</w:t>
      </w:r>
      <w:r w:rsidR="00085E8C" w:rsidRPr="00E7088C">
        <w:t xml:space="preserve"> International Congress and Convention Association (ICCA) ranking</w:t>
      </w:r>
    </w:p>
    <w:p w14:paraId="1EEEE2F6" w14:textId="7F419B11" w:rsidR="00085E8C" w:rsidRPr="00E7088C" w:rsidRDefault="00DC3F57" w:rsidP="00085E8C">
      <w:pPr>
        <w:pStyle w:val="Aufzhlung"/>
      </w:pPr>
      <w:r w:rsidRPr="00E7088C">
        <w:t>#</w:t>
      </w:r>
      <w:r w:rsidR="000F1EAF">
        <w:t>2</w:t>
      </w:r>
      <w:r w:rsidR="00085E8C" w:rsidRPr="00E7088C">
        <w:t xml:space="preserve"> in the 202</w:t>
      </w:r>
      <w:r w:rsidR="00B25834">
        <w:t>3</w:t>
      </w:r>
      <w:r w:rsidR="00085E8C" w:rsidRPr="00E7088C">
        <w:t xml:space="preserve"> Union of International Associations (UIA) Meetings Statistics Report</w:t>
      </w:r>
    </w:p>
    <w:p w14:paraId="3FF1CD5B" w14:textId="77777777" w:rsidR="007874C0" w:rsidRPr="00E7088C" w:rsidRDefault="007874C0" w:rsidP="00085E8C">
      <w:pPr>
        <w:ind w:firstLine="0"/>
        <w:rPr>
          <w:lang w:val="en-US"/>
        </w:rPr>
      </w:pPr>
    </w:p>
    <w:p w14:paraId="19A4FAE1" w14:textId="3A5FEE55" w:rsidR="00085E8C" w:rsidRPr="00E7088C" w:rsidRDefault="007874C0" w:rsidP="00085E8C">
      <w:pPr>
        <w:ind w:firstLine="0"/>
        <w:rPr>
          <w:b/>
          <w:bCs/>
          <w:lang w:val="en-US"/>
        </w:rPr>
      </w:pPr>
      <w:r w:rsidRPr="00E7088C">
        <w:rPr>
          <w:b/>
          <w:bCs/>
          <w:lang w:val="en-US"/>
        </w:rPr>
        <w:t>Additional links</w:t>
      </w:r>
    </w:p>
    <w:p w14:paraId="2305F204" w14:textId="2C5CD2E8" w:rsidR="00E37469" w:rsidRPr="00E7088C" w:rsidRDefault="00E37469" w:rsidP="00E37469">
      <w:pPr>
        <w:pStyle w:val="Aufzhlung"/>
      </w:pPr>
      <w:hyperlink r:id="rId22" w:history="1">
        <w:r w:rsidRPr="00E7088C">
          <w:rPr>
            <w:rStyle w:val="Hyperlink"/>
            <w:rFonts w:ascii="Graphik LCG TT Light" w:hAnsi="Graphik LCG TT Light"/>
          </w:rPr>
          <w:t>News</w:t>
        </w:r>
      </w:hyperlink>
      <w:r w:rsidRPr="00E7088C">
        <w:rPr>
          <w:rStyle w:val="Hyperlink"/>
          <w:rFonts w:ascii="Graphik LCG TT Light" w:hAnsi="Graphik LCG TT Light"/>
          <w:color w:val="000000" w:themeColor="text1"/>
          <w:u w:val="none"/>
        </w:rPr>
        <w:t xml:space="preserve"> from Meeting Destination Vienna </w:t>
      </w:r>
    </w:p>
    <w:p w14:paraId="4A27B265" w14:textId="77777777" w:rsidR="000F1EAF" w:rsidRPr="000F1EAF" w:rsidRDefault="009B7BE3" w:rsidP="000F1EAF">
      <w:pPr>
        <w:pStyle w:val="Aufzhlung"/>
        <w:rPr>
          <w:bCs/>
        </w:rPr>
      </w:pPr>
      <w:hyperlink r:id="rId23" w:history="1">
        <w:r w:rsidRPr="000F1EAF">
          <w:rPr>
            <w:rStyle w:val="Hyperlink"/>
            <w:rFonts w:ascii="Graphik LCG TT Light" w:hAnsi="Graphik LCG TT Light"/>
          </w:rPr>
          <w:t xml:space="preserve">Photo Material of Vienna </w:t>
        </w:r>
      </w:hyperlink>
      <w:r w:rsidR="00C96082" w:rsidRPr="00E7088C">
        <w:t xml:space="preserve"> </w:t>
      </w:r>
    </w:p>
    <w:p w14:paraId="4D85C07F" w14:textId="4FC383CF" w:rsidR="00085E8C" w:rsidRPr="000F1EAF" w:rsidRDefault="000F1EAF" w:rsidP="000F1EAF">
      <w:pPr>
        <w:pStyle w:val="Aufzhlung"/>
        <w:rPr>
          <w:bCs/>
        </w:rPr>
      </w:pPr>
      <w:hyperlink r:id="rId24" w:history="1">
        <w:r w:rsidRPr="00AE78FD">
          <w:rPr>
            <w:rStyle w:val="Hyperlink"/>
            <w:rFonts w:ascii="Graphik LCG TT Light" w:hAnsi="Graphik LCG TT Light"/>
          </w:rPr>
          <w:t>www.meeting.vienna.info/en</w:t>
        </w:r>
      </w:hyperlink>
      <w:r>
        <w:t xml:space="preserve"> </w:t>
      </w:r>
    </w:p>
    <w:p w14:paraId="18CBBAC8" w14:textId="77777777" w:rsidR="000F1EAF" w:rsidRPr="000F1EAF" w:rsidRDefault="000F1EAF" w:rsidP="000F1EAF">
      <w:pPr>
        <w:pStyle w:val="Aufzhlung"/>
        <w:numPr>
          <w:ilvl w:val="0"/>
          <w:numId w:val="0"/>
        </w:numPr>
        <w:ind w:left="794"/>
        <w:rPr>
          <w:bCs/>
        </w:rPr>
      </w:pPr>
    </w:p>
    <w:p w14:paraId="1F36ACC5" w14:textId="77777777" w:rsidR="00085E8C" w:rsidRPr="00E7088C" w:rsidRDefault="00085E8C" w:rsidP="00085E8C">
      <w:pPr>
        <w:ind w:firstLine="0"/>
        <w:rPr>
          <w:bCs/>
          <w:color w:val="E52236" w:themeColor="accent1"/>
          <w:lang w:val="en-US"/>
        </w:rPr>
      </w:pPr>
      <w:r w:rsidRPr="00E7088C">
        <w:rPr>
          <w:color w:val="E52236" w:themeColor="accent1"/>
          <w:lang w:val="en-US"/>
        </w:rPr>
        <w:t xml:space="preserve">The rights to the use of this text are owned by WienTourismus (Vienna Tourist Board). The text may be reproduced in its entirety, partially and in edited form free of charge until further notice. Please forward sample copy to: Vienna Tourist Board, Vienna Convention Bureau, </w:t>
      </w:r>
      <w:proofErr w:type="spellStart"/>
      <w:r w:rsidRPr="00E7088C">
        <w:rPr>
          <w:color w:val="E52236" w:themeColor="accent1"/>
          <w:lang w:val="en-US"/>
        </w:rPr>
        <w:t>Invalidenstrasse</w:t>
      </w:r>
      <w:proofErr w:type="spellEnd"/>
      <w:r w:rsidRPr="00E7088C">
        <w:rPr>
          <w:color w:val="E52236" w:themeColor="accent1"/>
          <w:lang w:val="en-US"/>
        </w:rPr>
        <w:t xml:space="preserve"> 6, 1030 Vienna; convention@vienna.info. No responsibility is assumed for the accuracy of the information contained in the text.</w:t>
      </w:r>
    </w:p>
    <w:p w14:paraId="53A6AE0A" w14:textId="77777777" w:rsidR="00085E8C" w:rsidRPr="00E7088C" w:rsidRDefault="00085E8C" w:rsidP="00085E8C">
      <w:pPr>
        <w:ind w:firstLine="0"/>
        <w:rPr>
          <w:lang w:val="en-US"/>
        </w:rPr>
      </w:pPr>
    </w:p>
    <w:p w14:paraId="590A5E8F" w14:textId="3FEC6952" w:rsidR="00C45193" w:rsidRPr="00E7088C" w:rsidRDefault="00085E8C" w:rsidP="00B25834">
      <w:pPr>
        <w:ind w:firstLine="0"/>
        <w:rPr>
          <w:lang w:val="en-US"/>
        </w:rPr>
      </w:pPr>
      <w:r w:rsidRPr="00E7088C">
        <w:rPr>
          <w:color w:val="E52236" w:themeColor="accent1"/>
          <w:lang w:val="en-US"/>
        </w:rPr>
        <w:t xml:space="preserve">Last updated: </w:t>
      </w:r>
      <w:r w:rsidR="00B25834">
        <w:rPr>
          <w:color w:val="E52236" w:themeColor="accent1"/>
          <w:lang w:val="en-US"/>
        </w:rPr>
        <w:t>January 2025</w:t>
      </w:r>
    </w:p>
    <w:sectPr w:rsidR="00C45193" w:rsidRPr="00E7088C" w:rsidSect="00F36305">
      <w:headerReference w:type="even" r:id="rId25"/>
      <w:headerReference w:type="default" r:id="rId26"/>
      <w:footerReference w:type="even" r:id="rId27"/>
      <w:footerReference w:type="default" r:id="rId28"/>
      <w:headerReference w:type="first" r:id="rId29"/>
      <w:footerReference w:type="first" r:id="rId30"/>
      <w:pgSz w:w="11900" w:h="16840"/>
      <w:pgMar w:top="2127"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845F" w14:textId="77777777" w:rsidR="00085E8C" w:rsidRDefault="00085E8C" w:rsidP="00474F51">
      <w:r>
        <w:separator/>
      </w:r>
    </w:p>
  </w:endnote>
  <w:endnote w:type="continuationSeparator" w:id="0">
    <w:p w14:paraId="3B7516A6" w14:textId="77777777" w:rsidR="00085E8C" w:rsidRDefault="00085E8C"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Light">
    <w:charset w:val="00"/>
    <w:family w:val="auto"/>
    <w:pitch w:val="variable"/>
    <w:sig w:usb0="00000007" w:usb1="00000000" w:usb2="00000000" w:usb3="00000000" w:csb0="00000093"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CG TT Light">
    <w:panose1 w:val="020B0403030202060203"/>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1FB9" w14:textId="77777777" w:rsidR="00E27ADB" w:rsidRDefault="00E27A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D246" w14:textId="77777777" w:rsidR="00AD479F" w:rsidRDefault="00431005" w:rsidP="00431005">
    <w:pPr>
      <w:pStyle w:val="Fuzeile"/>
    </w:pPr>
    <w:r>
      <w:rPr>
        <w:noProof/>
        <w:lang w:val="de-AT" w:eastAsia="de-AT"/>
      </w:rPr>
      <w:drawing>
        <wp:anchor distT="0" distB="0" distL="114300" distR="114300" simplePos="0" relativeHeight="251668480" behindDoc="0" locked="1" layoutInCell="1" allowOverlap="1" wp14:anchorId="1652ED6C" wp14:editId="066AF2A6">
          <wp:simplePos x="0" y="0"/>
          <wp:positionH relativeFrom="margin">
            <wp:posOffset>1996440</wp:posOffset>
          </wp:positionH>
          <wp:positionV relativeFrom="margin">
            <wp:posOffset>8437245</wp:posOffset>
          </wp:positionV>
          <wp:extent cx="2312670" cy="367030"/>
          <wp:effectExtent l="0" t="0" r="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1">
                    <a:extLst>
                      <a:ext uri="{28A0092B-C50C-407E-A947-70E740481C1C}">
                        <a14:useLocalDpi xmlns:a14="http://schemas.microsoft.com/office/drawing/2010/main" val="0"/>
                      </a:ext>
                    </a:extLst>
                  </a:blip>
                  <a:stretch>
                    <a:fillRect/>
                  </a:stretch>
                </pic:blipFill>
                <pic:spPr>
                  <a:xfrm>
                    <a:off x="0" y="0"/>
                    <a:ext cx="2312670" cy="36703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w:instrText>
    </w:r>
    <w:r w:rsidR="00B365EC">
      <w:instrText>PAGE</w:instrText>
    </w:r>
    <w:r>
      <w:instrText xml:space="preserve">  \* MERGEFORMAT </w:instrText>
    </w:r>
    <w:r>
      <w:fldChar w:fldCharType="separate"/>
    </w:r>
    <w:r w:rsidR="004B7A66">
      <w:rPr>
        <w:noProof/>
      </w:rPr>
      <w:t>1</w:t>
    </w:r>
    <w:r>
      <w:fldChar w:fldCharType="end"/>
    </w:r>
    <w:r w:rsidR="00E54EB7">
      <w:t>/</w:t>
    </w:r>
    <w:r w:rsidR="00945057">
      <w:fldChar w:fldCharType="begin"/>
    </w:r>
    <w:r w:rsidR="00945057">
      <w:instrText xml:space="preserve"> </w:instrText>
    </w:r>
    <w:r w:rsidR="00B365EC">
      <w:instrText>NUMPAGES</w:instrText>
    </w:r>
    <w:r w:rsidR="00945057">
      <w:instrText xml:space="preserve">  \* MERGEFORMAT </w:instrText>
    </w:r>
    <w:r w:rsidR="00945057">
      <w:fldChar w:fldCharType="separate"/>
    </w:r>
    <w:r w:rsidR="004B7A66">
      <w:rPr>
        <w:noProof/>
      </w:rPr>
      <w:t>1</w:t>
    </w:r>
    <w:r w:rsidR="0094505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7627"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4FEB7670" wp14:editId="172B8001">
          <wp:simplePos x="0" y="0"/>
          <wp:positionH relativeFrom="margin">
            <wp:align>center</wp:align>
          </wp:positionH>
          <wp:positionV relativeFrom="margin">
            <wp:posOffset>8472805</wp:posOffset>
          </wp:positionV>
          <wp:extent cx="936000" cy="180360"/>
          <wp:effectExtent l="0" t="0" r="3810" b="0"/>
          <wp:wrapNone/>
          <wp:docPr id="3"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79D2" w14:textId="77777777" w:rsidR="00085E8C" w:rsidRDefault="00085E8C" w:rsidP="00474F51">
      <w:r>
        <w:separator/>
      </w:r>
    </w:p>
  </w:footnote>
  <w:footnote w:type="continuationSeparator" w:id="0">
    <w:p w14:paraId="250924E8" w14:textId="77777777" w:rsidR="00085E8C" w:rsidRDefault="00085E8C"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C315" w14:textId="77777777" w:rsidR="00E27ADB" w:rsidRDefault="00E27A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CellMar>
        <w:left w:w="0" w:type="dxa"/>
        <w:right w:w="0" w:type="dxa"/>
      </w:tblCellMar>
      <w:tblLook w:val="04A0" w:firstRow="1" w:lastRow="0" w:firstColumn="1" w:lastColumn="0" w:noHBand="0" w:noVBand="1"/>
    </w:tblPr>
    <w:tblGrid>
      <w:gridCol w:w="7885"/>
      <w:gridCol w:w="1747"/>
    </w:tblGrid>
    <w:tr w:rsidR="00E54EB7" w14:paraId="714D615D" w14:textId="77777777" w:rsidTr="00EF277F">
      <w:trPr>
        <w:trHeight w:val="312"/>
      </w:trPr>
      <w:tc>
        <w:tcPr>
          <w:tcW w:w="6670" w:type="dxa"/>
          <w:tcBorders>
            <w:top w:val="nil"/>
            <w:left w:val="nil"/>
            <w:bottom w:val="nil"/>
            <w:right w:val="nil"/>
          </w:tcBorders>
          <w:tcMar>
            <w:left w:w="0" w:type="dxa"/>
            <w:right w:w="0" w:type="dxa"/>
          </w:tcMar>
        </w:tcPr>
        <w:p w14:paraId="0214E66E" w14:textId="77777777" w:rsidR="006B0843" w:rsidRDefault="006B0843" w:rsidP="008E30FB">
          <w:pPr>
            <w:pStyle w:val="Kopfzeile"/>
          </w:pPr>
        </w:p>
      </w:tc>
      <w:tc>
        <w:tcPr>
          <w:tcW w:w="1478" w:type="dxa"/>
          <w:tcBorders>
            <w:top w:val="nil"/>
            <w:left w:val="nil"/>
            <w:bottom w:val="nil"/>
            <w:right w:val="nil"/>
          </w:tcBorders>
        </w:tcPr>
        <w:p w14:paraId="76D8AC0D" w14:textId="0CE26191" w:rsidR="006B0843" w:rsidRDefault="00E849FD" w:rsidP="00EF277F">
          <w:pPr>
            <w:pStyle w:val="Kopfzeile"/>
            <w:jc w:val="right"/>
          </w:pPr>
          <w:fldSimple w:instr=" DATE   \* MERGEFORMAT ">
            <w:r w:rsidR="00AD145D">
              <w:rPr>
                <w:noProof/>
              </w:rPr>
              <w:t>23.06.2025</w:t>
            </w:r>
          </w:fldSimple>
        </w:p>
      </w:tc>
    </w:tr>
  </w:tbl>
  <w:p w14:paraId="409D1A41" w14:textId="77777777" w:rsidR="00AD479F" w:rsidRPr="00E54EB7" w:rsidRDefault="00AD479F" w:rsidP="00474F51">
    <w:pPr>
      <w:pStyle w:val="Kopfzeile"/>
      <w:rPr>
        <w:rStyle w:val="Funotenzeiche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0349" w14:textId="77777777" w:rsidR="00E27ADB" w:rsidRDefault="00E27A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EC9A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EAD7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B00B8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A1E12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B3C8B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11CE5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97CC0D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D20583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CDC7C6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7EC2E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17EED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E01E2"/>
    <w:multiLevelType w:val="hybridMultilevel"/>
    <w:tmpl w:val="F3E67DB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FB4AAC"/>
    <w:multiLevelType w:val="hybridMultilevel"/>
    <w:tmpl w:val="CDA6005E"/>
    <w:lvl w:ilvl="0" w:tplc="E190FD12">
      <w:start w:val="1"/>
      <w:numFmt w:val="bullet"/>
      <w:lvlText w:val=""/>
      <w:lvlJc w:val="left"/>
      <w:pPr>
        <w:ind w:left="737" w:hanging="170"/>
      </w:pPr>
      <w:rPr>
        <w:rFonts w:ascii="Symbol" w:hAnsi="Symbol"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C611A76"/>
    <w:multiLevelType w:val="multilevel"/>
    <w:tmpl w:val="CDA6005E"/>
    <w:lvl w:ilvl="0">
      <w:start w:val="1"/>
      <w:numFmt w:val="bullet"/>
      <w:lvlText w:val=""/>
      <w:lvlJc w:val="left"/>
      <w:pPr>
        <w:ind w:left="737" w:hanging="170"/>
      </w:pPr>
      <w:rPr>
        <w:rFonts w:ascii="Symbol" w:hAnsi="Symbol"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08309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A956A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137088"/>
    <w:multiLevelType w:val="hybridMultilevel"/>
    <w:tmpl w:val="B8E6F4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3897F7C"/>
    <w:multiLevelType w:val="multilevel"/>
    <w:tmpl w:val="25ACB0F2"/>
    <w:lvl w:ilvl="0">
      <w:start w:val="1"/>
      <w:numFmt w:val="decimal"/>
      <w:lvlText w:val="%1."/>
      <w:lvlJc w:val="left"/>
      <w:pPr>
        <w:ind w:left="720" w:hanging="360"/>
      </w:pPr>
      <w:rPr>
        <w:rFonts w:ascii="Graphik Light" w:hAnsi="Graphik Light"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FF0CC9"/>
    <w:multiLevelType w:val="hybridMultilevel"/>
    <w:tmpl w:val="7AFA36B6"/>
    <w:lvl w:ilvl="0" w:tplc="D14CEDA8">
      <w:start w:val="1"/>
      <w:numFmt w:val="bullet"/>
      <w:lvlText w:val=""/>
      <w:lvlJc w:val="left"/>
      <w:pPr>
        <w:ind w:left="927" w:hanging="360"/>
      </w:pPr>
      <w:rPr>
        <w:rFonts w:ascii="Symbol" w:hAnsi="Symbol" w:hint="default"/>
        <w:b w:val="0"/>
        <w:i w:val="0"/>
        <w:color w:val="E52236" w:themeColor="accent1"/>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0B01F79"/>
    <w:multiLevelType w:val="multilevel"/>
    <w:tmpl w:val="D690E426"/>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30E6970"/>
    <w:multiLevelType w:val="hybridMultilevel"/>
    <w:tmpl w:val="9A74BEB6"/>
    <w:lvl w:ilvl="0" w:tplc="19041ABA">
      <w:start w:val="1"/>
      <w:numFmt w:val="decimal"/>
      <w:lvlText w:val="%1."/>
      <w:lvlJc w:val="left"/>
      <w:pPr>
        <w:ind w:left="927" w:hanging="360"/>
      </w:pPr>
      <w:rPr>
        <w:rFonts w:ascii="Graphik LCG Light" w:hAnsi="Graphik LCG Light" w:hint="default"/>
        <w:b w:val="0"/>
        <w:i w:val="0"/>
        <w:color w:val="E52236" w:themeColor="accent1"/>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3521E7D"/>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53190F"/>
    <w:multiLevelType w:val="multilevel"/>
    <w:tmpl w:val="26AAD5B8"/>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2613649"/>
    <w:multiLevelType w:val="hybridMultilevel"/>
    <w:tmpl w:val="B658BB12"/>
    <w:lvl w:ilvl="0" w:tplc="1A9E94F4">
      <w:start w:val="1"/>
      <w:numFmt w:val="decimal"/>
      <w:lvlText w:val="%1."/>
      <w:lvlJc w:val="left"/>
      <w:pPr>
        <w:tabs>
          <w:tab w:val="num" w:pos="851"/>
        </w:tabs>
        <w:ind w:left="851" w:hanging="284"/>
      </w:pPr>
      <w:rPr>
        <w:rFonts w:ascii="Graphik LCG Light" w:hAnsi="Graphik LCG Light"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3A56B5"/>
    <w:multiLevelType w:val="hybridMultilevel"/>
    <w:tmpl w:val="25ACB0F2"/>
    <w:lvl w:ilvl="0" w:tplc="30FA3370">
      <w:start w:val="1"/>
      <w:numFmt w:val="decimal"/>
      <w:lvlText w:val="%1."/>
      <w:lvlJc w:val="left"/>
      <w:pPr>
        <w:ind w:left="720" w:hanging="360"/>
      </w:pPr>
      <w:rPr>
        <w:rFonts w:ascii="Graphik Light" w:hAnsi="Graphik Light"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4556F3"/>
    <w:multiLevelType w:val="multilevel"/>
    <w:tmpl w:val="3EC8EA32"/>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454" w:hanging="454"/>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659549B"/>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6041C0"/>
    <w:multiLevelType w:val="multilevel"/>
    <w:tmpl w:val="B658BB12"/>
    <w:lvl w:ilvl="0">
      <w:start w:val="1"/>
      <w:numFmt w:val="decimal"/>
      <w:lvlText w:val="%1."/>
      <w:lvlJc w:val="left"/>
      <w:pPr>
        <w:tabs>
          <w:tab w:val="num" w:pos="851"/>
        </w:tabs>
        <w:ind w:left="851" w:hanging="284"/>
      </w:pPr>
      <w:rPr>
        <w:rFonts w:ascii="Graphik LCG Light" w:hAnsi="Graphik LCG Light"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F16E16"/>
    <w:multiLevelType w:val="hybridMultilevel"/>
    <w:tmpl w:val="43EC24DA"/>
    <w:lvl w:ilvl="0" w:tplc="CF7C5F58">
      <w:start w:val="1"/>
      <w:numFmt w:val="bullet"/>
      <w:lvlText w:val=""/>
      <w:lvlJc w:val="left"/>
      <w:pPr>
        <w:tabs>
          <w:tab w:val="num" w:pos="851"/>
        </w:tabs>
        <w:ind w:left="851" w:hanging="284"/>
      </w:pPr>
      <w:rPr>
        <w:rFonts w:ascii="Symbol" w:hAnsi="Symbol" w:hint="default"/>
        <w:b w:val="0"/>
        <w:i w:val="0"/>
        <w:color w:val="C0000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EBA5CA9"/>
    <w:multiLevelType w:val="hybridMultilevel"/>
    <w:tmpl w:val="0EF2C2F2"/>
    <w:lvl w:ilvl="0" w:tplc="F2AEC2FC">
      <w:start w:val="1"/>
      <w:numFmt w:val="decimal"/>
      <w:lvlText w:val="%1."/>
      <w:lvlJc w:val="left"/>
      <w:pPr>
        <w:tabs>
          <w:tab w:val="num" w:pos="851"/>
        </w:tabs>
        <w:ind w:left="851" w:hanging="284"/>
      </w:pPr>
      <w:rPr>
        <w:rFonts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49D2BDF"/>
    <w:multiLevelType w:val="multilevel"/>
    <w:tmpl w:val="F3E67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F31FA9"/>
    <w:multiLevelType w:val="multilevel"/>
    <w:tmpl w:val="8CF63EA0"/>
    <w:lvl w:ilvl="0">
      <w:start w:val="1"/>
      <w:numFmt w:val="bullet"/>
      <w:lvlText w:val=""/>
      <w:lvlJc w:val="left"/>
      <w:pPr>
        <w:ind w:left="720" w:hanging="360"/>
      </w:pPr>
      <w:rPr>
        <w:rFonts w:ascii="Symbol" w:hAnsi="Symbol"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280163"/>
    <w:multiLevelType w:val="hybridMultilevel"/>
    <w:tmpl w:val="A64C40B2"/>
    <w:lvl w:ilvl="0" w:tplc="A3A8CF92">
      <w:start w:val="1"/>
      <w:numFmt w:val="decimal"/>
      <w:lvlText w:val="%1."/>
      <w:lvlJc w:val="left"/>
      <w:pPr>
        <w:tabs>
          <w:tab w:val="num" w:pos="794"/>
        </w:tabs>
        <w:ind w:left="794" w:hanging="227"/>
      </w:pPr>
      <w:rPr>
        <w:rFonts w:hint="default"/>
        <w:color w:val="E52236" w:themeColor="accen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0094AFD"/>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0F52E59"/>
    <w:multiLevelType w:val="multilevel"/>
    <w:tmpl w:val="BA526400"/>
    <w:lvl w:ilvl="0">
      <w:start w:val="1"/>
      <w:numFmt w:val="decimal"/>
      <w:pStyle w:val="berschrift1"/>
      <w:lvlText w:val="%1"/>
      <w:lvlJc w:val="left"/>
      <w:pPr>
        <w:tabs>
          <w:tab w:val="num" w:pos="567"/>
        </w:tabs>
        <w:ind w:left="567" w:hanging="567"/>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6" w15:restartNumberingAfterBreak="0">
    <w:nsid w:val="711C7DCF"/>
    <w:multiLevelType w:val="hybridMultilevel"/>
    <w:tmpl w:val="B4EE7B92"/>
    <w:lvl w:ilvl="0" w:tplc="CCB02FE4">
      <w:start w:val="1"/>
      <w:numFmt w:val="decimal"/>
      <w:pStyle w:val="Nummerierung"/>
      <w:lvlText w:val="%1."/>
      <w:lvlJc w:val="left"/>
      <w:pPr>
        <w:tabs>
          <w:tab w:val="num" w:pos="794"/>
        </w:tabs>
        <w:ind w:left="794" w:hanging="227"/>
      </w:pPr>
      <w:rPr>
        <w:rFonts w:hint="default"/>
        <w:color w:val="E52236"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8F46C9"/>
    <w:multiLevelType w:val="hybridMultilevel"/>
    <w:tmpl w:val="8CF63EA0"/>
    <w:lvl w:ilvl="0" w:tplc="0E8A3500">
      <w:start w:val="1"/>
      <w:numFmt w:val="bullet"/>
      <w:lvlText w:val=""/>
      <w:lvlJc w:val="left"/>
      <w:pPr>
        <w:ind w:left="720" w:hanging="360"/>
      </w:pPr>
      <w:rPr>
        <w:rFonts w:ascii="Symbol" w:hAnsi="Symbol" w:hint="default"/>
        <w:b w:val="0"/>
        <w:i w:val="0"/>
        <w:color w:val="C00000"/>
        <w:sz w:val="1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75C4E43"/>
    <w:multiLevelType w:val="multilevel"/>
    <w:tmpl w:val="43EC24DA"/>
    <w:lvl w:ilvl="0">
      <w:start w:val="1"/>
      <w:numFmt w:val="bullet"/>
      <w:lvlText w:val=""/>
      <w:lvlJc w:val="left"/>
      <w:pPr>
        <w:tabs>
          <w:tab w:val="num" w:pos="851"/>
        </w:tabs>
        <w:ind w:left="851" w:hanging="284"/>
      </w:pPr>
      <w:rPr>
        <w:rFonts w:ascii="Symbol" w:hAnsi="Symbol"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4B28BC"/>
    <w:multiLevelType w:val="multilevel"/>
    <w:tmpl w:val="6EE85974"/>
    <w:lvl w:ilvl="0">
      <w:start w:val="1"/>
      <w:numFmt w:val="bullet"/>
      <w:lvlText w:val=""/>
      <w:lvlJc w:val="left"/>
      <w:pPr>
        <w:ind w:left="794" w:hanging="227"/>
      </w:pPr>
      <w:rPr>
        <w:rFonts w:ascii="Symbol" w:hAnsi="Symbol" w:hint="default"/>
        <w:color w:val="E52236"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0C53ED"/>
    <w:multiLevelType w:val="hybridMultilevel"/>
    <w:tmpl w:val="0256D4C6"/>
    <w:lvl w:ilvl="0" w:tplc="0AACA7AC">
      <w:start w:val="1"/>
      <w:numFmt w:val="bullet"/>
      <w:pStyle w:val="Aufzhlung"/>
      <w:lvlText w:val=""/>
      <w:lvlJc w:val="left"/>
      <w:pPr>
        <w:ind w:left="794" w:hanging="227"/>
      </w:pPr>
      <w:rPr>
        <w:rFonts w:ascii="Symbol" w:hAnsi="Symbol" w:hint="default"/>
        <w:color w:val="E52236" w:themeColor="accen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CE5E16"/>
    <w:multiLevelType w:val="multilevel"/>
    <w:tmpl w:val="0EF2C2F2"/>
    <w:lvl w:ilvl="0">
      <w:start w:val="1"/>
      <w:numFmt w:val="decimal"/>
      <w:lvlText w:val="%1."/>
      <w:lvlJc w:val="left"/>
      <w:pPr>
        <w:tabs>
          <w:tab w:val="num" w:pos="851"/>
        </w:tabs>
        <w:ind w:left="851" w:hanging="284"/>
      </w:pPr>
      <w:rPr>
        <w:rFonts w:hint="default"/>
        <w:b w:val="0"/>
        <w:i w:val="0"/>
        <w:color w:val="C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867151">
    <w:abstractNumId w:val="11"/>
  </w:num>
  <w:num w:numId="2" w16cid:durableId="1684438052">
    <w:abstractNumId w:val="22"/>
  </w:num>
  <w:num w:numId="3" w16cid:durableId="186452058">
    <w:abstractNumId w:val="12"/>
  </w:num>
  <w:num w:numId="4" w16cid:durableId="1553495191">
    <w:abstractNumId w:val="35"/>
  </w:num>
  <w:num w:numId="5" w16cid:durableId="497501587">
    <w:abstractNumId w:val="27"/>
  </w:num>
  <w:num w:numId="6" w16cid:durableId="823470633">
    <w:abstractNumId w:val="37"/>
  </w:num>
  <w:num w:numId="7" w16cid:durableId="136533857">
    <w:abstractNumId w:val="31"/>
  </w:num>
  <w:num w:numId="8" w16cid:durableId="918297478">
    <w:abstractNumId w:val="25"/>
  </w:num>
  <w:num w:numId="9" w16cid:durableId="171839873">
    <w:abstractNumId w:val="16"/>
  </w:num>
  <w:num w:numId="10" w16cid:durableId="565578653">
    <w:abstractNumId w:val="18"/>
  </w:num>
  <w:num w:numId="11" w16cid:durableId="6298627">
    <w:abstractNumId w:val="13"/>
  </w:num>
  <w:num w:numId="12" w16cid:durableId="1622110063">
    <w:abstractNumId w:val="14"/>
  </w:num>
  <w:num w:numId="13" w16cid:durableId="542447999">
    <w:abstractNumId w:val="29"/>
  </w:num>
  <w:num w:numId="14" w16cid:durableId="1315991193">
    <w:abstractNumId w:val="32"/>
  </w:num>
  <w:num w:numId="15" w16cid:durableId="144664479">
    <w:abstractNumId w:val="30"/>
  </w:num>
  <w:num w:numId="16" w16cid:durableId="993726235">
    <w:abstractNumId w:val="41"/>
  </w:num>
  <w:num w:numId="17" w16cid:durableId="2120680324">
    <w:abstractNumId w:val="24"/>
  </w:num>
  <w:num w:numId="18" w16cid:durableId="1688098698">
    <w:abstractNumId w:val="28"/>
  </w:num>
  <w:num w:numId="19" w16cid:durableId="257569728">
    <w:abstractNumId w:val="21"/>
  </w:num>
  <w:num w:numId="20" w16cid:durableId="444038814">
    <w:abstractNumId w:val="38"/>
  </w:num>
  <w:num w:numId="21" w16cid:durableId="2085636794">
    <w:abstractNumId w:val="19"/>
  </w:num>
  <w:num w:numId="22" w16cid:durableId="1448280455">
    <w:abstractNumId w:val="0"/>
  </w:num>
  <w:num w:numId="23" w16cid:durableId="1322848102">
    <w:abstractNumId w:val="1"/>
  </w:num>
  <w:num w:numId="24" w16cid:durableId="579144442">
    <w:abstractNumId w:val="2"/>
  </w:num>
  <w:num w:numId="25" w16cid:durableId="936905761">
    <w:abstractNumId w:val="3"/>
  </w:num>
  <w:num w:numId="26" w16cid:durableId="1668702304">
    <w:abstractNumId w:val="4"/>
  </w:num>
  <w:num w:numId="27" w16cid:durableId="1897276189">
    <w:abstractNumId w:val="9"/>
  </w:num>
  <w:num w:numId="28" w16cid:durableId="255676895">
    <w:abstractNumId w:val="5"/>
  </w:num>
  <w:num w:numId="29" w16cid:durableId="1779062363">
    <w:abstractNumId w:val="6"/>
  </w:num>
  <w:num w:numId="30" w16cid:durableId="1763143580">
    <w:abstractNumId w:val="7"/>
  </w:num>
  <w:num w:numId="31" w16cid:durableId="793251225">
    <w:abstractNumId w:val="8"/>
  </w:num>
  <w:num w:numId="32" w16cid:durableId="1326402409">
    <w:abstractNumId w:val="10"/>
  </w:num>
  <w:num w:numId="33" w16cid:durableId="882789047">
    <w:abstractNumId w:val="15"/>
  </w:num>
  <w:num w:numId="34" w16cid:durableId="264775080">
    <w:abstractNumId w:val="34"/>
  </w:num>
  <w:num w:numId="35" w16cid:durableId="1735397063">
    <w:abstractNumId w:val="26"/>
  </w:num>
  <w:num w:numId="36" w16cid:durableId="1682925580">
    <w:abstractNumId w:val="20"/>
  </w:num>
  <w:num w:numId="37" w16cid:durableId="871726626">
    <w:abstractNumId w:val="23"/>
  </w:num>
  <w:num w:numId="38" w16cid:durableId="1188056205">
    <w:abstractNumId w:val="36"/>
  </w:num>
  <w:num w:numId="39" w16cid:durableId="1902446963">
    <w:abstractNumId w:val="33"/>
  </w:num>
  <w:num w:numId="40" w16cid:durableId="312488180">
    <w:abstractNumId w:val="39"/>
  </w:num>
  <w:num w:numId="41" w16cid:durableId="1389767918">
    <w:abstractNumId w:val="40"/>
  </w:num>
  <w:num w:numId="42" w16cid:durableId="74823295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8C"/>
    <w:rsid w:val="00000788"/>
    <w:rsid w:val="000158F1"/>
    <w:rsid w:val="00021A4A"/>
    <w:rsid w:val="00024E41"/>
    <w:rsid w:val="000252E1"/>
    <w:rsid w:val="00036856"/>
    <w:rsid w:val="00041EE6"/>
    <w:rsid w:val="00052DC1"/>
    <w:rsid w:val="00057F74"/>
    <w:rsid w:val="00067556"/>
    <w:rsid w:val="00072209"/>
    <w:rsid w:val="0007507D"/>
    <w:rsid w:val="00080FD6"/>
    <w:rsid w:val="00083258"/>
    <w:rsid w:val="00085E8C"/>
    <w:rsid w:val="00095BAA"/>
    <w:rsid w:val="00097195"/>
    <w:rsid w:val="000A6C31"/>
    <w:rsid w:val="000D3840"/>
    <w:rsid w:val="000D45B0"/>
    <w:rsid w:val="000E0DB4"/>
    <w:rsid w:val="000E18B9"/>
    <w:rsid w:val="000F164B"/>
    <w:rsid w:val="000F1EAF"/>
    <w:rsid w:val="00102099"/>
    <w:rsid w:val="001060C6"/>
    <w:rsid w:val="00115FAC"/>
    <w:rsid w:val="0012071B"/>
    <w:rsid w:val="00130A80"/>
    <w:rsid w:val="001516E1"/>
    <w:rsid w:val="00154274"/>
    <w:rsid w:val="001565B0"/>
    <w:rsid w:val="00161DD6"/>
    <w:rsid w:val="001622A8"/>
    <w:rsid w:val="001659D7"/>
    <w:rsid w:val="00167392"/>
    <w:rsid w:val="0017342B"/>
    <w:rsid w:val="001A7B45"/>
    <w:rsid w:val="001B3832"/>
    <w:rsid w:val="001B48F1"/>
    <w:rsid w:val="001C1BF3"/>
    <w:rsid w:val="001C30E9"/>
    <w:rsid w:val="001C707C"/>
    <w:rsid w:val="001C7ADF"/>
    <w:rsid w:val="001E1943"/>
    <w:rsid w:val="001F5E75"/>
    <w:rsid w:val="00207500"/>
    <w:rsid w:val="002200A9"/>
    <w:rsid w:val="00227B87"/>
    <w:rsid w:val="0024079C"/>
    <w:rsid w:val="00241103"/>
    <w:rsid w:val="00243573"/>
    <w:rsid w:val="00245D8A"/>
    <w:rsid w:val="00245F38"/>
    <w:rsid w:val="00251921"/>
    <w:rsid w:val="002714A5"/>
    <w:rsid w:val="002771E0"/>
    <w:rsid w:val="00282681"/>
    <w:rsid w:val="00286626"/>
    <w:rsid w:val="002A0943"/>
    <w:rsid w:val="002A112B"/>
    <w:rsid w:val="002B0253"/>
    <w:rsid w:val="002B7A9F"/>
    <w:rsid w:val="002C4539"/>
    <w:rsid w:val="002D1149"/>
    <w:rsid w:val="002E068C"/>
    <w:rsid w:val="002E56D4"/>
    <w:rsid w:val="002F0BFE"/>
    <w:rsid w:val="0030347C"/>
    <w:rsid w:val="00313D79"/>
    <w:rsid w:val="00332741"/>
    <w:rsid w:val="0034026F"/>
    <w:rsid w:val="0034641F"/>
    <w:rsid w:val="00355CCA"/>
    <w:rsid w:val="00356D8B"/>
    <w:rsid w:val="00362ED1"/>
    <w:rsid w:val="003708FA"/>
    <w:rsid w:val="00377D77"/>
    <w:rsid w:val="00380B93"/>
    <w:rsid w:val="003865DB"/>
    <w:rsid w:val="003A2371"/>
    <w:rsid w:val="003A3232"/>
    <w:rsid w:val="003A5A74"/>
    <w:rsid w:val="003B19D4"/>
    <w:rsid w:val="003B5776"/>
    <w:rsid w:val="003B6A5A"/>
    <w:rsid w:val="003C55D6"/>
    <w:rsid w:val="003F0B1D"/>
    <w:rsid w:val="003F1B94"/>
    <w:rsid w:val="003F4DEB"/>
    <w:rsid w:val="0040014C"/>
    <w:rsid w:val="004020EA"/>
    <w:rsid w:val="00403BB4"/>
    <w:rsid w:val="0040406D"/>
    <w:rsid w:val="00416458"/>
    <w:rsid w:val="00431005"/>
    <w:rsid w:val="00453809"/>
    <w:rsid w:val="00455D80"/>
    <w:rsid w:val="00474F51"/>
    <w:rsid w:val="00486F0B"/>
    <w:rsid w:val="00494418"/>
    <w:rsid w:val="004958FA"/>
    <w:rsid w:val="00497071"/>
    <w:rsid w:val="004A36CE"/>
    <w:rsid w:val="004B7A66"/>
    <w:rsid w:val="004C33B3"/>
    <w:rsid w:val="004C3692"/>
    <w:rsid w:val="004C7043"/>
    <w:rsid w:val="004D3DEC"/>
    <w:rsid w:val="00502F62"/>
    <w:rsid w:val="00504949"/>
    <w:rsid w:val="0051451B"/>
    <w:rsid w:val="005204BB"/>
    <w:rsid w:val="00531819"/>
    <w:rsid w:val="00532913"/>
    <w:rsid w:val="005332E0"/>
    <w:rsid w:val="0054028E"/>
    <w:rsid w:val="005464BB"/>
    <w:rsid w:val="0055246A"/>
    <w:rsid w:val="005538A8"/>
    <w:rsid w:val="00563E1D"/>
    <w:rsid w:val="00566DF3"/>
    <w:rsid w:val="00570455"/>
    <w:rsid w:val="00574CAE"/>
    <w:rsid w:val="00581BAC"/>
    <w:rsid w:val="00595CE3"/>
    <w:rsid w:val="005A6224"/>
    <w:rsid w:val="005C09D7"/>
    <w:rsid w:val="005C2B31"/>
    <w:rsid w:val="005D28CC"/>
    <w:rsid w:val="005F126B"/>
    <w:rsid w:val="00600956"/>
    <w:rsid w:val="00604CBF"/>
    <w:rsid w:val="00620D5E"/>
    <w:rsid w:val="00624513"/>
    <w:rsid w:val="00627977"/>
    <w:rsid w:val="00630636"/>
    <w:rsid w:val="00640BD0"/>
    <w:rsid w:val="00642045"/>
    <w:rsid w:val="00644DD4"/>
    <w:rsid w:val="00646C90"/>
    <w:rsid w:val="00650D77"/>
    <w:rsid w:val="00657479"/>
    <w:rsid w:val="00684C93"/>
    <w:rsid w:val="00692EAE"/>
    <w:rsid w:val="006B0843"/>
    <w:rsid w:val="006B1804"/>
    <w:rsid w:val="006B30A0"/>
    <w:rsid w:val="006B6449"/>
    <w:rsid w:val="006C09FA"/>
    <w:rsid w:val="006C6A5D"/>
    <w:rsid w:val="006D41FB"/>
    <w:rsid w:val="006E1250"/>
    <w:rsid w:val="00703090"/>
    <w:rsid w:val="00706E22"/>
    <w:rsid w:val="00716105"/>
    <w:rsid w:val="007235F2"/>
    <w:rsid w:val="007247EE"/>
    <w:rsid w:val="007337FC"/>
    <w:rsid w:val="00740E04"/>
    <w:rsid w:val="007658C7"/>
    <w:rsid w:val="0077766B"/>
    <w:rsid w:val="00777A8F"/>
    <w:rsid w:val="0078183A"/>
    <w:rsid w:val="007856F3"/>
    <w:rsid w:val="00786AA8"/>
    <w:rsid w:val="007874C0"/>
    <w:rsid w:val="007B1E63"/>
    <w:rsid w:val="007D2F5A"/>
    <w:rsid w:val="007D34C1"/>
    <w:rsid w:val="007D6465"/>
    <w:rsid w:val="007E3014"/>
    <w:rsid w:val="007E44A5"/>
    <w:rsid w:val="00807E38"/>
    <w:rsid w:val="008103DF"/>
    <w:rsid w:val="00817455"/>
    <w:rsid w:val="00823C1B"/>
    <w:rsid w:val="00823F98"/>
    <w:rsid w:val="0083031E"/>
    <w:rsid w:val="00836654"/>
    <w:rsid w:val="00836A29"/>
    <w:rsid w:val="0084258E"/>
    <w:rsid w:val="008442F8"/>
    <w:rsid w:val="0086668D"/>
    <w:rsid w:val="00867B42"/>
    <w:rsid w:val="00871DBD"/>
    <w:rsid w:val="00880771"/>
    <w:rsid w:val="008B212E"/>
    <w:rsid w:val="008C0A4B"/>
    <w:rsid w:val="008C19A5"/>
    <w:rsid w:val="008E30FB"/>
    <w:rsid w:val="008F17C7"/>
    <w:rsid w:val="008F6326"/>
    <w:rsid w:val="00901BFA"/>
    <w:rsid w:val="009324C5"/>
    <w:rsid w:val="00933C60"/>
    <w:rsid w:val="00941D51"/>
    <w:rsid w:val="00941E1E"/>
    <w:rsid w:val="00943CA8"/>
    <w:rsid w:val="00945057"/>
    <w:rsid w:val="00955231"/>
    <w:rsid w:val="00970553"/>
    <w:rsid w:val="009860BA"/>
    <w:rsid w:val="0099078F"/>
    <w:rsid w:val="009B086A"/>
    <w:rsid w:val="009B3393"/>
    <w:rsid w:val="009B7BE3"/>
    <w:rsid w:val="009C022F"/>
    <w:rsid w:val="009D0DEF"/>
    <w:rsid w:val="009D2A90"/>
    <w:rsid w:val="009E28E4"/>
    <w:rsid w:val="009E3299"/>
    <w:rsid w:val="009F729B"/>
    <w:rsid w:val="00A1240D"/>
    <w:rsid w:val="00A12818"/>
    <w:rsid w:val="00A50DCB"/>
    <w:rsid w:val="00A55933"/>
    <w:rsid w:val="00A60045"/>
    <w:rsid w:val="00A94DD5"/>
    <w:rsid w:val="00AA39A4"/>
    <w:rsid w:val="00AA5765"/>
    <w:rsid w:val="00AB1D31"/>
    <w:rsid w:val="00AD145D"/>
    <w:rsid w:val="00AD39C9"/>
    <w:rsid w:val="00AD479F"/>
    <w:rsid w:val="00AD62F0"/>
    <w:rsid w:val="00AE6D98"/>
    <w:rsid w:val="00AF0029"/>
    <w:rsid w:val="00AF23C2"/>
    <w:rsid w:val="00AF3D9E"/>
    <w:rsid w:val="00AF559D"/>
    <w:rsid w:val="00B00A79"/>
    <w:rsid w:val="00B01D5B"/>
    <w:rsid w:val="00B13391"/>
    <w:rsid w:val="00B15C88"/>
    <w:rsid w:val="00B210CD"/>
    <w:rsid w:val="00B25834"/>
    <w:rsid w:val="00B365EC"/>
    <w:rsid w:val="00B46FD1"/>
    <w:rsid w:val="00B54946"/>
    <w:rsid w:val="00B56F6B"/>
    <w:rsid w:val="00B71AC8"/>
    <w:rsid w:val="00B814E3"/>
    <w:rsid w:val="00B82626"/>
    <w:rsid w:val="00B945F0"/>
    <w:rsid w:val="00BA1987"/>
    <w:rsid w:val="00BA5F00"/>
    <w:rsid w:val="00BB497D"/>
    <w:rsid w:val="00BB6130"/>
    <w:rsid w:val="00BC5739"/>
    <w:rsid w:val="00BC6579"/>
    <w:rsid w:val="00BD6998"/>
    <w:rsid w:val="00BE07BF"/>
    <w:rsid w:val="00BF7239"/>
    <w:rsid w:val="00C135B6"/>
    <w:rsid w:val="00C24F26"/>
    <w:rsid w:val="00C328B8"/>
    <w:rsid w:val="00C45193"/>
    <w:rsid w:val="00C63C7F"/>
    <w:rsid w:val="00C67A4C"/>
    <w:rsid w:val="00C76916"/>
    <w:rsid w:val="00C77F81"/>
    <w:rsid w:val="00C95F2F"/>
    <w:rsid w:val="00C96082"/>
    <w:rsid w:val="00CA0D29"/>
    <w:rsid w:val="00CA1720"/>
    <w:rsid w:val="00CC36F3"/>
    <w:rsid w:val="00CC71AF"/>
    <w:rsid w:val="00CC7C9A"/>
    <w:rsid w:val="00CD4CD0"/>
    <w:rsid w:val="00D0042B"/>
    <w:rsid w:val="00D14499"/>
    <w:rsid w:val="00D171A2"/>
    <w:rsid w:val="00D27649"/>
    <w:rsid w:val="00D34387"/>
    <w:rsid w:val="00D36DEE"/>
    <w:rsid w:val="00D36E40"/>
    <w:rsid w:val="00D43B4B"/>
    <w:rsid w:val="00D566C4"/>
    <w:rsid w:val="00D567D3"/>
    <w:rsid w:val="00D65C09"/>
    <w:rsid w:val="00D717F1"/>
    <w:rsid w:val="00D75617"/>
    <w:rsid w:val="00D81AD7"/>
    <w:rsid w:val="00D81E1D"/>
    <w:rsid w:val="00D864D0"/>
    <w:rsid w:val="00D87109"/>
    <w:rsid w:val="00DA22BD"/>
    <w:rsid w:val="00DB01B6"/>
    <w:rsid w:val="00DB051B"/>
    <w:rsid w:val="00DB1481"/>
    <w:rsid w:val="00DC0406"/>
    <w:rsid w:val="00DC3828"/>
    <w:rsid w:val="00DC3F57"/>
    <w:rsid w:val="00DD1580"/>
    <w:rsid w:val="00DE45CF"/>
    <w:rsid w:val="00DF238A"/>
    <w:rsid w:val="00E0688D"/>
    <w:rsid w:val="00E173B3"/>
    <w:rsid w:val="00E27ADB"/>
    <w:rsid w:val="00E37469"/>
    <w:rsid w:val="00E431D2"/>
    <w:rsid w:val="00E4390D"/>
    <w:rsid w:val="00E5434E"/>
    <w:rsid w:val="00E54EB7"/>
    <w:rsid w:val="00E676AC"/>
    <w:rsid w:val="00E7088C"/>
    <w:rsid w:val="00E838AE"/>
    <w:rsid w:val="00E849FD"/>
    <w:rsid w:val="00EA1755"/>
    <w:rsid w:val="00EA1FF7"/>
    <w:rsid w:val="00EC0DC2"/>
    <w:rsid w:val="00ED00A3"/>
    <w:rsid w:val="00EE2EF4"/>
    <w:rsid w:val="00EE50E9"/>
    <w:rsid w:val="00EF0889"/>
    <w:rsid w:val="00EF11F6"/>
    <w:rsid w:val="00EF277F"/>
    <w:rsid w:val="00F047F9"/>
    <w:rsid w:val="00F04E62"/>
    <w:rsid w:val="00F060ED"/>
    <w:rsid w:val="00F2083A"/>
    <w:rsid w:val="00F36305"/>
    <w:rsid w:val="00F37E5A"/>
    <w:rsid w:val="00F65CB1"/>
    <w:rsid w:val="00F85BF1"/>
    <w:rsid w:val="00FA42D0"/>
    <w:rsid w:val="00FB4D90"/>
    <w:rsid w:val="00FB4E8F"/>
    <w:rsid w:val="00FC55C6"/>
    <w:rsid w:val="00FD4086"/>
    <w:rsid w:val="00FE1B74"/>
    <w:rsid w:val="00FE1FE7"/>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C3CA3"/>
  <w14:defaultImageDpi w14:val="32767"/>
  <w15:chartTrackingRefBased/>
  <w15:docId w15:val="{5053C647-5500-433A-869F-16211D53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raphik LCG TT Light" w:eastAsiaTheme="minorHAnsi" w:hAnsi="Graphik LCG TT Light" w:cstheme="minorBidi"/>
        <w:color w:val="000000" w:themeColor="text1"/>
        <w:spacing w:val="4"/>
        <w:sz w:val="21"/>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sstext"/>
    <w:qFormat/>
    <w:rsid w:val="00AE6D98"/>
    <w:pPr>
      <w:spacing w:line="280" w:lineRule="atLeast"/>
      <w:ind w:firstLine="567"/>
      <w:jc w:val="both"/>
    </w:pPr>
  </w:style>
  <w:style w:type="paragraph" w:styleId="berschrift1">
    <w:name w:val="heading 1"/>
    <w:aliases w:val="HEADLINE 1"/>
    <w:basedOn w:val="Standard"/>
    <w:next w:val="Standard"/>
    <w:link w:val="berschrift1Zchn"/>
    <w:uiPriority w:val="9"/>
    <w:qFormat/>
    <w:rsid w:val="005332E0"/>
    <w:pPr>
      <w:keepNext/>
      <w:keepLines/>
      <w:numPr>
        <w:numId w:val="4"/>
      </w:numPr>
      <w:spacing w:after="60" w:line="320" w:lineRule="exact"/>
      <w:jc w:val="left"/>
      <w:outlineLvl w:val="0"/>
    </w:pPr>
    <w:rPr>
      <w:rFonts w:eastAsiaTheme="majorEastAsia" w:cstheme="majorBidi"/>
      <w:color w:val="E52236" w:themeColor="accent1"/>
      <w:spacing w:val="0"/>
      <w:sz w:val="28"/>
      <w:szCs w:val="32"/>
    </w:rPr>
  </w:style>
  <w:style w:type="paragraph" w:styleId="berschrift2">
    <w:name w:val="heading 2"/>
    <w:aliases w:val="HEADLINE 2"/>
    <w:basedOn w:val="berschrift1"/>
    <w:next w:val="Standard"/>
    <w:link w:val="berschrift2Zchn"/>
    <w:uiPriority w:val="9"/>
    <w:unhideWhenUsed/>
    <w:qFormat/>
    <w:rsid w:val="005332E0"/>
    <w:pPr>
      <w:numPr>
        <w:ilvl w:val="1"/>
      </w:numPr>
      <w:spacing w:line="280" w:lineRule="exact"/>
      <w:outlineLvl w:val="1"/>
    </w:pPr>
    <w:rPr>
      <w:caps/>
      <w:sz w:val="21"/>
      <w:szCs w:val="26"/>
    </w:rPr>
  </w:style>
  <w:style w:type="paragraph" w:styleId="berschrift3">
    <w:name w:val="heading 3"/>
    <w:aliases w:val="HEADLINE 3"/>
    <w:basedOn w:val="berschrift2"/>
    <w:next w:val="Standard"/>
    <w:link w:val="berschrift3Zchn"/>
    <w:uiPriority w:val="9"/>
    <w:unhideWhenUsed/>
    <w:qFormat/>
    <w:rsid w:val="005332E0"/>
    <w:pPr>
      <w:numPr>
        <w:ilvl w:val="2"/>
      </w:numPr>
      <w:outlineLvl w:val="2"/>
    </w:pPr>
    <w:rPr>
      <w:bCs/>
      <w:caps w:val="0"/>
      <w:color w:val="000000" w:themeColor="text1"/>
    </w:rPr>
  </w:style>
  <w:style w:type="paragraph" w:styleId="berschrift4">
    <w:name w:val="heading 4"/>
    <w:basedOn w:val="Standard"/>
    <w:next w:val="Standard"/>
    <w:link w:val="berschrift4Zchn"/>
    <w:uiPriority w:val="9"/>
    <w:semiHidden/>
    <w:unhideWhenUsed/>
    <w:rsid w:val="005332E0"/>
    <w:pPr>
      <w:keepNext/>
      <w:keepLines/>
      <w:numPr>
        <w:ilvl w:val="3"/>
        <w:numId w:val="4"/>
      </w:numPr>
      <w:spacing w:before="40"/>
      <w:outlineLvl w:val="3"/>
    </w:pPr>
    <w:rPr>
      <w:rFonts w:eastAsiaTheme="majorEastAsia" w:cstheme="majorBidi"/>
      <w:color w:val="E52236" w:themeColor="accent1"/>
    </w:rPr>
  </w:style>
  <w:style w:type="paragraph" w:styleId="berschrift5">
    <w:name w:val="heading 5"/>
    <w:basedOn w:val="Standard"/>
    <w:next w:val="Standard"/>
    <w:link w:val="berschrift5Zchn"/>
    <w:uiPriority w:val="9"/>
    <w:semiHidden/>
    <w:unhideWhenUsed/>
    <w:qFormat/>
    <w:rsid w:val="005332E0"/>
    <w:pPr>
      <w:keepNext/>
      <w:keepLines/>
      <w:numPr>
        <w:ilvl w:val="4"/>
        <w:numId w:val="4"/>
      </w:numPr>
      <w:spacing w:before="40"/>
      <w:outlineLvl w:val="4"/>
    </w:pPr>
    <w:rPr>
      <w:rFonts w:asciiTheme="majorHAnsi" w:eastAsiaTheme="majorEastAsia" w:hAnsiTheme="majorHAnsi" w:cstheme="majorBidi"/>
      <w:color w:val="AF1424" w:themeColor="accent1" w:themeShade="BF"/>
    </w:rPr>
  </w:style>
  <w:style w:type="paragraph" w:styleId="berschrift6">
    <w:name w:val="heading 6"/>
    <w:basedOn w:val="Standard"/>
    <w:next w:val="Standard"/>
    <w:link w:val="berschrift6Zchn"/>
    <w:uiPriority w:val="9"/>
    <w:semiHidden/>
    <w:unhideWhenUsed/>
    <w:qFormat/>
    <w:rsid w:val="005332E0"/>
    <w:pPr>
      <w:keepNext/>
      <w:keepLines/>
      <w:numPr>
        <w:ilvl w:val="5"/>
        <w:numId w:val="4"/>
      </w:numPr>
      <w:spacing w:before="40"/>
      <w:outlineLvl w:val="5"/>
    </w:pPr>
    <w:rPr>
      <w:rFonts w:asciiTheme="majorHAnsi" w:eastAsiaTheme="majorEastAsia" w:hAnsiTheme="majorHAnsi" w:cstheme="majorBidi"/>
      <w:color w:val="740D18" w:themeColor="accent1" w:themeShade="7F"/>
    </w:rPr>
  </w:style>
  <w:style w:type="paragraph" w:styleId="berschrift7">
    <w:name w:val="heading 7"/>
    <w:basedOn w:val="Standard"/>
    <w:next w:val="Standard"/>
    <w:link w:val="berschrift7Zchn"/>
    <w:uiPriority w:val="9"/>
    <w:semiHidden/>
    <w:unhideWhenUsed/>
    <w:qFormat/>
    <w:rsid w:val="005332E0"/>
    <w:pPr>
      <w:keepNext/>
      <w:keepLines/>
      <w:numPr>
        <w:ilvl w:val="6"/>
        <w:numId w:val="4"/>
      </w:numPr>
      <w:spacing w:before="40"/>
      <w:outlineLvl w:val="6"/>
    </w:pPr>
    <w:rPr>
      <w:rFonts w:asciiTheme="majorHAnsi" w:eastAsiaTheme="majorEastAsia" w:hAnsiTheme="majorHAnsi" w:cstheme="majorBidi"/>
      <w:i/>
      <w:iCs/>
      <w:color w:val="740D18" w:themeColor="accent1" w:themeShade="7F"/>
    </w:rPr>
  </w:style>
  <w:style w:type="paragraph" w:styleId="berschrift8">
    <w:name w:val="heading 8"/>
    <w:basedOn w:val="Standard"/>
    <w:next w:val="Standard"/>
    <w:link w:val="berschrift8Zchn"/>
    <w:uiPriority w:val="9"/>
    <w:semiHidden/>
    <w:unhideWhenUsed/>
    <w:qFormat/>
    <w:rsid w:val="005332E0"/>
    <w:pPr>
      <w:keepNext/>
      <w:keepLines/>
      <w:numPr>
        <w:ilvl w:val="7"/>
        <w:numId w:val="4"/>
      </w:numPr>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5332E0"/>
    <w:pPr>
      <w:keepNext/>
      <w:keepLines/>
      <w:numPr>
        <w:ilvl w:val="8"/>
        <w:numId w:val="4"/>
      </w:numPr>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Quellenangabe">
    <w:name w:val="Tabelle Quellenangabe"/>
    <w:basedOn w:val="Standard"/>
    <w:qFormat/>
    <w:rsid w:val="002200A9"/>
    <w:pPr>
      <w:spacing w:before="160" w:after="300" w:line="200" w:lineRule="exact"/>
      <w:ind w:firstLine="0"/>
      <w:jc w:val="left"/>
    </w:pPr>
    <w:rPr>
      <w:iCs/>
      <w:sz w:val="16"/>
      <w:szCs w:val="18"/>
    </w:rPr>
  </w:style>
  <w:style w:type="character" w:customStyle="1" w:styleId="berschrift1Zchn">
    <w:name w:val="Überschrift 1 Zchn"/>
    <w:aliases w:val="HEADLINE 1 Zchn"/>
    <w:basedOn w:val="Absatz-Standardschriftart"/>
    <w:link w:val="berschrift1"/>
    <w:uiPriority w:val="9"/>
    <w:rsid w:val="00817455"/>
    <w:rPr>
      <w:rFonts w:ascii="Graphik LCG Light" w:eastAsiaTheme="majorEastAsia" w:hAnsi="Graphik LCG Light" w:cstheme="majorBidi"/>
      <w:color w:val="E52236" w:themeColor="accent1"/>
      <w:sz w:val="28"/>
      <w:szCs w:val="32"/>
    </w:rPr>
  </w:style>
  <w:style w:type="paragraph" w:styleId="Kopfzeile">
    <w:name w:val="header"/>
    <w:basedOn w:val="Standard"/>
    <w:link w:val="KopfzeileZchn"/>
    <w:uiPriority w:val="99"/>
    <w:unhideWhenUsed/>
    <w:rsid w:val="000D3840"/>
    <w:pPr>
      <w:tabs>
        <w:tab w:val="center" w:pos="4536"/>
        <w:tab w:val="right" w:pos="9072"/>
      </w:tabs>
      <w:ind w:firstLine="0"/>
      <w:jc w:val="left"/>
    </w:pPr>
    <w:rPr>
      <w:caps/>
      <w:spacing w:val="6"/>
      <w:sz w:val="16"/>
    </w:rPr>
  </w:style>
  <w:style w:type="character" w:customStyle="1" w:styleId="KopfzeileZchn">
    <w:name w:val="Kopfzeile Zchn"/>
    <w:basedOn w:val="Absatz-Standardschriftart"/>
    <w:link w:val="Kopfzeile"/>
    <w:uiPriority w:val="99"/>
    <w:rsid w:val="000D3840"/>
    <w:rPr>
      <w:rFonts w:ascii="Graphik LCG Light" w:hAnsi="Graphik LCG Light"/>
      <w:caps/>
      <w:color w:val="000000" w:themeColor="text1"/>
      <w:spacing w:val="6"/>
      <w:sz w:val="16"/>
    </w:rPr>
  </w:style>
  <w:style w:type="paragraph" w:styleId="Fuzeile">
    <w:name w:val="footer"/>
    <w:basedOn w:val="Standard"/>
    <w:link w:val="FuzeileZchn"/>
    <w:uiPriority w:val="99"/>
    <w:unhideWhenUsed/>
    <w:rsid w:val="00486F0B"/>
    <w:pPr>
      <w:widowControl w:val="0"/>
      <w:tabs>
        <w:tab w:val="center" w:pos="4536"/>
        <w:tab w:val="left" w:pos="6180"/>
        <w:tab w:val="right" w:pos="8611"/>
        <w:tab w:val="right" w:pos="9072"/>
      </w:tabs>
      <w:spacing w:line="240" w:lineRule="auto"/>
      <w:jc w:val="right"/>
    </w:pPr>
    <w:rPr>
      <w:color w:val="E52236" w:themeColor="accent1"/>
      <w:sz w:val="24"/>
    </w:rPr>
  </w:style>
  <w:style w:type="character" w:customStyle="1" w:styleId="FuzeileZchn">
    <w:name w:val="Fußzeile Zchn"/>
    <w:basedOn w:val="Absatz-Standardschriftart"/>
    <w:link w:val="Fuzeile"/>
    <w:uiPriority w:val="99"/>
    <w:rsid w:val="00486F0B"/>
    <w:rPr>
      <w:rFonts w:ascii="Graphik LCG Light" w:hAnsi="Graphik LCG Light"/>
      <w:color w:val="E52236" w:themeColor="accent1"/>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Subheadline">
    <w:name w:val="Subheadline"/>
    <w:basedOn w:val="Headline"/>
    <w:qFormat/>
    <w:rsid w:val="00817455"/>
    <w:pPr>
      <w:spacing w:line="320" w:lineRule="exact"/>
    </w:pPr>
    <w:rPr>
      <w:caps/>
      <w:sz w:val="28"/>
    </w:rPr>
  </w:style>
  <w:style w:type="numbering" w:styleId="111111">
    <w:name w:val="Outline List 2"/>
    <w:basedOn w:val="KeineListe"/>
    <w:uiPriority w:val="99"/>
    <w:semiHidden/>
    <w:unhideWhenUsed/>
    <w:rsid w:val="00CC71AF"/>
    <w:pPr>
      <w:numPr>
        <w:numId w:val="3"/>
      </w:numPr>
    </w:pPr>
  </w:style>
  <w:style w:type="paragraph" w:styleId="Funotentext">
    <w:name w:val="footnote text"/>
    <w:basedOn w:val="Standard"/>
    <w:link w:val="FunotentextZchn"/>
    <w:uiPriority w:val="99"/>
    <w:unhideWhenUsed/>
    <w:rsid w:val="0054028E"/>
    <w:pPr>
      <w:spacing w:after="60" w:line="160" w:lineRule="exact"/>
      <w:ind w:firstLine="0"/>
    </w:pPr>
    <w:rPr>
      <w:rFonts w:ascii="Graphik LCG" w:hAnsi="Graphik LCG"/>
      <w:sz w:val="13"/>
    </w:rPr>
  </w:style>
  <w:style w:type="character" w:customStyle="1" w:styleId="FunotentextZchn">
    <w:name w:val="Fußnotentext Zchn"/>
    <w:basedOn w:val="Absatz-Standardschriftart"/>
    <w:link w:val="Funotentext"/>
    <w:uiPriority w:val="99"/>
    <w:rsid w:val="0054028E"/>
    <w:rPr>
      <w:rFonts w:ascii="Graphik LCG" w:hAnsi="Graphik LCG"/>
      <w:color w:val="000000" w:themeColor="text1"/>
      <w:spacing w:val="4"/>
      <w:sz w:val="13"/>
    </w:rPr>
  </w:style>
  <w:style w:type="character" w:styleId="Funotenzeichen">
    <w:name w:val="footnote reference"/>
    <w:basedOn w:val="Absatz-Standardschriftart"/>
    <w:uiPriority w:val="99"/>
    <w:unhideWhenUsed/>
    <w:rsid w:val="00486F0B"/>
    <w:rPr>
      <w:rFonts w:ascii="Graphik LCG Light" w:hAnsi="Graphik LCG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32E0"/>
    <w:rPr>
      <w:rFonts w:ascii="Graphik LCG Light" w:eastAsiaTheme="majorEastAsia" w:hAnsi="Graphik LCG Light" w:cstheme="majorBidi"/>
      <w:caps/>
      <w:color w:val="E52236" w:themeColor="accent1"/>
      <w:sz w:val="21"/>
      <w:szCs w:val="26"/>
    </w:rPr>
  </w:style>
  <w:style w:type="character" w:customStyle="1" w:styleId="berschrift3Zchn">
    <w:name w:val="Überschrift 3 Zchn"/>
    <w:aliases w:val="HEADLINE 3 Zchn"/>
    <w:basedOn w:val="Absatz-Standardschriftart"/>
    <w:link w:val="berschrift3"/>
    <w:uiPriority w:val="9"/>
    <w:rsid w:val="005332E0"/>
    <w:rPr>
      <w:rFonts w:ascii="Graphik LCG Light" w:eastAsiaTheme="majorEastAsia" w:hAnsi="Graphik LCG Light" w:cstheme="majorBidi"/>
      <w:bCs/>
      <w:color w:val="000000" w:themeColor="text1"/>
      <w:sz w:val="21"/>
      <w:szCs w:val="26"/>
    </w:rPr>
  </w:style>
  <w:style w:type="paragraph" w:styleId="Inhaltsverzeichnisberschrift">
    <w:name w:val="TOC Heading"/>
    <w:basedOn w:val="Headline"/>
    <w:next w:val="Standard"/>
    <w:uiPriority w:val="39"/>
    <w:unhideWhenUsed/>
    <w:rsid w:val="00FC55C6"/>
    <w:pPr>
      <w:spacing w:before="480" w:line="276" w:lineRule="auto"/>
      <w:jc w:val="left"/>
    </w:pPr>
    <w:rPr>
      <w:szCs w:val="28"/>
      <w:lang w:val="en-GB" w:eastAsia="de-DE"/>
    </w:rPr>
  </w:style>
  <w:style w:type="paragraph" w:styleId="Verzeichnis1">
    <w:name w:val="toc 1"/>
    <w:basedOn w:val="Standard"/>
    <w:uiPriority w:val="39"/>
    <w:unhideWhenUsed/>
    <w:rsid w:val="00EE2EF4"/>
    <w:pPr>
      <w:tabs>
        <w:tab w:val="left" w:pos="567"/>
      </w:tabs>
      <w:spacing w:before="120" w:line="320" w:lineRule="exact"/>
      <w:ind w:firstLine="0"/>
      <w:jc w:val="left"/>
    </w:pPr>
    <w:rPr>
      <w:rFonts w:cstheme="minorHAnsi"/>
      <w:bCs/>
      <w:color w:val="E52236" w:themeColor="accent1"/>
    </w:rPr>
  </w:style>
  <w:style w:type="paragraph" w:styleId="Verzeichnis2">
    <w:name w:val="toc 2"/>
    <w:basedOn w:val="Standard"/>
    <w:next w:val="Standard"/>
    <w:uiPriority w:val="39"/>
    <w:unhideWhenUsed/>
    <w:rsid w:val="00EE2EF4"/>
    <w:pPr>
      <w:tabs>
        <w:tab w:val="left" w:pos="567"/>
      </w:tabs>
      <w:ind w:firstLine="0"/>
      <w:jc w:val="left"/>
    </w:pPr>
    <w:rPr>
      <w:rFonts w:cstheme="minorHAnsi"/>
      <w:bCs/>
      <w:szCs w:val="22"/>
    </w:rPr>
  </w:style>
  <w:style w:type="paragraph" w:styleId="Verzeichnis3">
    <w:name w:val="toc 3"/>
    <w:basedOn w:val="Standard"/>
    <w:uiPriority w:val="39"/>
    <w:unhideWhenUsed/>
    <w:rsid w:val="00EE2EF4"/>
    <w:pPr>
      <w:tabs>
        <w:tab w:val="left" w:pos="567"/>
      </w:tabs>
      <w:ind w:left="567" w:firstLine="0"/>
      <w:jc w:val="left"/>
    </w:pPr>
    <w:rPr>
      <w:rFonts w:cstheme="minorHAnsi"/>
      <w:szCs w:val="22"/>
    </w:rPr>
  </w:style>
  <w:style w:type="character" w:styleId="Hyperlink">
    <w:name w:val="Hyperlink"/>
    <w:basedOn w:val="Absatz-Standardschriftart"/>
    <w:uiPriority w:val="99"/>
    <w:unhideWhenUsed/>
    <w:qFormat/>
    <w:rsid w:val="00817455"/>
    <w:rPr>
      <w:rFonts w:ascii="Graphik LCG Light" w:hAnsi="Graphik LCG Light"/>
      <w:b w:val="0"/>
      <w:bCs w:val="0"/>
      <w:i w:val="0"/>
      <w:iCs w:val="0"/>
      <w:color w:val="E52236" w:themeColor="accent1"/>
      <w:sz w:val="21"/>
      <w:u w:val="single"/>
    </w:rPr>
  </w:style>
  <w:style w:type="paragraph" w:styleId="Verzeichnis4">
    <w:name w:val="toc 4"/>
    <w:basedOn w:val="Standard"/>
    <w:next w:val="Standard"/>
    <w:autoRedefine/>
    <w:uiPriority w:val="39"/>
    <w:semiHidden/>
    <w:unhideWhenUsed/>
    <w:rsid w:val="009324C5"/>
    <w:pPr>
      <w:ind w:left="630"/>
      <w:jc w:val="left"/>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9324C5"/>
    <w:pPr>
      <w:ind w:left="840"/>
      <w:jc w:val="left"/>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9324C5"/>
    <w:pPr>
      <w:ind w:left="1050"/>
      <w:jc w:val="left"/>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9324C5"/>
    <w:pPr>
      <w:ind w:left="1260"/>
      <w:jc w:val="left"/>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9324C5"/>
    <w:pPr>
      <w:ind w:left="1470"/>
      <w:jc w:val="left"/>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9324C5"/>
    <w:pPr>
      <w:ind w:left="1680"/>
      <w:jc w:val="left"/>
    </w:pPr>
    <w:rPr>
      <w:rFonts w:asciiTheme="minorHAnsi" w:hAnsiTheme="minorHAnsi" w:cstheme="minorHAnsi"/>
      <w:sz w:val="20"/>
      <w:szCs w:val="20"/>
    </w:rPr>
  </w:style>
  <w:style w:type="paragraph" w:customStyle="1" w:styleId="Headline">
    <w:name w:val="Headline"/>
    <w:basedOn w:val="Standard"/>
    <w:qFormat/>
    <w:rsid w:val="00817455"/>
    <w:pPr>
      <w:spacing w:line="680" w:lineRule="exact"/>
      <w:ind w:firstLine="0"/>
      <w:contextualSpacing/>
      <w:jc w:val="center"/>
    </w:pPr>
    <w:rPr>
      <w:color w:val="E52236" w:themeColor="accent1"/>
      <w:sz w:val="64"/>
    </w:rPr>
  </w:style>
  <w:style w:type="character" w:customStyle="1" w:styleId="berschrift4Zchn">
    <w:name w:val="Überschrift 4 Zchn"/>
    <w:basedOn w:val="Absatz-Standardschriftart"/>
    <w:link w:val="berschrift4"/>
    <w:uiPriority w:val="9"/>
    <w:semiHidden/>
    <w:rsid w:val="00486F0B"/>
    <w:rPr>
      <w:rFonts w:ascii="Graphik LCG Light" w:eastAsiaTheme="majorEastAsia" w:hAnsi="Graphik LCG Light" w:cstheme="majorBidi"/>
      <w:color w:val="E52236" w:themeColor="accent1"/>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AF1424"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740D1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740D1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7856F3"/>
    <w:pPr>
      <w:spacing w:before="280" w:after="100"/>
      <w:ind w:firstLine="0"/>
      <w:jc w:val="left"/>
    </w:pPr>
    <w:rPr>
      <w:caps/>
      <w:color w:val="E52236" w:themeColor="accent1"/>
    </w:rPr>
  </w:style>
  <w:style w:type="paragraph" w:customStyle="1" w:styleId="TabelleTextRot">
    <w:name w:val="Tabelle Text Rot"/>
    <w:basedOn w:val="TabelleTextSchwarz"/>
    <w:qFormat/>
    <w:rsid w:val="00BA5F00"/>
    <w:pPr>
      <w:spacing w:line="240" w:lineRule="auto"/>
    </w:pPr>
    <w:rPr>
      <w:color w:val="E52236" w:themeColor="accent1"/>
    </w:rPr>
  </w:style>
  <w:style w:type="paragraph" w:customStyle="1" w:styleId="TabelleTextSchwarz">
    <w:name w:val="Tabelle Text Schwarz"/>
    <w:basedOn w:val="Standard"/>
    <w:qFormat/>
    <w:rsid w:val="00BA5F00"/>
    <w:pPr>
      <w:spacing w:line="240" w:lineRule="exact"/>
      <w:ind w:firstLine="0"/>
      <w:jc w:val="right"/>
    </w:pPr>
    <w:rPr>
      <w:rFonts w:ascii="Graphik LCG" w:hAnsi="Graphik LCG"/>
      <w:sz w:val="18"/>
    </w:rPr>
  </w:style>
  <w:style w:type="paragraph" w:customStyle="1" w:styleId="HeadlineDeckblatt">
    <w:name w:val="Headline Deckblatt"/>
    <w:basedOn w:val="Headline"/>
    <w:qFormat/>
    <w:rsid w:val="00817455"/>
    <w:pPr>
      <w:spacing w:line="1520" w:lineRule="exact"/>
    </w:pPr>
    <w:rPr>
      <w:sz w:val="140"/>
    </w:rPr>
  </w:style>
  <w:style w:type="character" w:styleId="Hervorhebung">
    <w:name w:val="Emphasis"/>
    <w:basedOn w:val="Absatz-Standardschriftart"/>
    <w:uiPriority w:val="20"/>
    <w:qFormat/>
    <w:rsid w:val="006B6449"/>
    <w:rPr>
      <w:rFonts w:ascii="Graphik LCG Light" w:hAnsi="Graphik LCG Light"/>
      <w:b w:val="0"/>
      <w:i w:val="0"/>
      <w:iCs/>
      <w:color w:val="E52236" w:themeColor="accent1"/>
      <w:sz w:val="21"/>
      <w:u w:val="none"/>
    </w:rPr>
  </w:style>
  <w:style w:type="paragraph" w:customStyle="1" w:styleId="Aufzhlung">
    <w:name w:val="Aufzählung"/>
    <w:basedOn w:val="Standard"/>
    <w:qFormat/>
    <w:rsid w:val="003865DB"/>
    <w:pPr>
      <w:numPr>
        <w:numId w:val="41"/>
      </w:numPr>
      <w:spacing w:after="120"/>
    </w:pPr>
    <w:rPr>
      <w:lang w:val="en-US"/>
    </w:rPr>
  </w:style>
  <w:style w:type="paragraph" w:customStyle="1" w:styleId="Nummerierung">
    <w:name w:val="Nummerierung"/>
    <w:basedOn w:val="Aufzhlung"/>
    <w:qFormat/>
    <w:rsid w:val="003865DB"/>
    <w:pPr>
      <w:numPr>
        <w:numId w:val="38"/>
      </w:numPr>
    </w:pPr>
  </w:style>
  <w:style w:type="paragraph" w:customStyle="1" w:styleId="Bildunterschrift">
    <w:name w:val="Bildunterschrift"/>
    <w:basedOn w:val="TabelleQuellenangabe"/>
    <w:qFormat/>
    <w:rsid w:val="002200A9"/>
    <w:rPr>
      <w:color w:val="E52236" w:themeColor="accent1"/>
      <w:lang w:val="en-US"/>
    </w:rPr>
  </w:style>
  <w:style w:type="character" w:styleId="Platzhaltertext">
    <w:name w:val="Placeholder Text"/>
    <w:basedOn w:val="Absatz-Standardschriftart"/>
    <w:uiPriority w:val="99"/>
    <w:semiHidden/>
    <w:rsid w:val="00EA1FF7"/>
    <w:rPr>
      <w:color w:val="808080"/>
    </w:rPr>
  </w:style>
  <w:style w:type="character" w:styleId="NichtaufgelsteErwhnung">
    <w:name w:val="Unresolved Mention"/>
    <w:basedOn w:val="Absatz-Standardschriftart"/>
    <w:uiPriority w:val="99"/>
    <w:semiHidden/>
    <w:unhideWhenUsed/>
    <w:rsid w:val="00085E8C"/>
    <w:rPr>
      <w:color w:val="605E5C"/>
      <w:shd w:val="clear" w:color="auto" w:fill="E1DFDD"/>
    </w:rPr>
  </w:style>
  <w:style w:type="character" w:styleId="Fett">
    <w:name w:val="Strong"/>
    <w:basedOn w:val="Absatz-Standardschriftart"/>
    <w:uiPriority w:val="22"/>
    <w:qFormat/>
    <w:rsid w:val="00085E8C"/>
    <w:rPr>
      <w:b/>
      <w:bCs/>
    </w:rPr>
  </w:style>
  <w:style w:type="character" w:styleId="Kommentarzeichen">
    <w:name w:val="annotation reference"/>
    <w:basedOn w:val="Absatz-Standardschriftart"/>
    <w:uiPriority w:val="99"/>
    <w:semiHidden/>
    <w:unhideWhenUsed/>
    <w:rsid w:val="002F0BFE"/>
    <w:rPr>
      <w:sz w:val="16"/>
      <w:szCs w:val="16"/>
    </w:rPr>
  </w:style>
  <w:style w:type="paragraph" w:styleId="Kommentartext">
    <w:name w:val="annotation text"/>
    <w:basedOn w:val="Standard"/>
    <w:link w:val="KommentartextZchn"/>
    <w:uiPriority w:val="99"/>
    <w:semiHidden/>
    <w:unhideWhenUsed/>
    <w:rsid w:val="002F0B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0BFE"/>
    <w:rPr>
      <w:sz w:val="20"/>
      <w:szCs w:val="20"/>
    </w:rPr>
  </w:style>
  <w:style w:type="paragraph" w:styleId="Kommentarthema">
    <w:name w:val="annotation subject"/>
    <w:basedOn w:val="Kommentartext"/>
    <w:next w:val="Kommentartext"/>
    <w:link w:val="KommentarthemaZchn"/>
    <w:uiPriority w:val="99"/>
    <w:semiHidden/>
    <w:unhideWhenUsed/>
    <w:rsid w:val="002F0BFE"/>
    <w:rPr>
      <w:b/>
      <w:bCs/>
    </w:rPr>
  </w:style>
  <w:style w:type="character" w:customStyle="1" w:styleId="KommentarthemaZchn">
    <w:name w:val="Kommentarthema Zchn"/>
    <w:basedOn w:val="KommentartextZchn"/>
    <w:link w:val="Kommentarthema"/>
    <w:uiPriority w:val="99"/>
    <w:semiHidden/>
    <w:rsid w:val="002F0BFE"/>
    <w:rPr>
      <w:b/>
      <w:bCs/>
      <w:sz w:val="20"/>
      <w:szCs w:val="20"/>
    </w:rPr>
  </w:style>
  <w:style w:type="character" w:styleId="BesuchterLink">
    <w:name w:val="FollowedHyperlink"/>
    <w:basedOn w:val="Absatz-Standardschriftart"/>
    <w:uiPriority w:val="99"/>
    <w:semiHidden/>
    <w:unhideWhenUsed/>
    <w:rsid w:val="007874C0"/>
    <w:rPr>
      <w:color w:val="D5D5D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51661">
      <w:bodyDiv w:val="1"/>
      <w:marLeft w:val="0"/>
      <w:marRight w:val="0"/>
      <w:marTop w:val="0"/>
      <w:marBottom w:val="0"/>
      <w:divBdr>
        <w:top w:val="none" w:sz="0" w:space="0" w:color="auto"/>
        <w:left w:val="none" w:sz="0" w:space="0" w:color="auto"/>
        <w:bottom w:val="none" w:sz="0" w:space="0" w:color="auto"/>
        <w:right w:val="none" w:sz="0" w:space="0" w:color="auto"/>
      </w:divBdr>
    </w:div>
    <w:div w:id="541359852">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vienna.info/en/who-we-are-services/vienna-meeting-industry-report" TargetMode="External"/><Relationship Id="rId13" Type="http://schemas.openxmlformats.org/officeDocument/2006/relationships/hyperlink" Target="https://meeting.vienna.info/en/current/news-en" TargetMode="External"/><Relationship Id="rId18" Type="http://schemas.openxmlformats.org/officeDocument/2006/relationships/hyperlink" Target="https://www.wien.gv.at/english/business-media/vienna-2030.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meeting.vienna.info/en" TargetMode="External"/><Relationship Id="rId7" Type="http://schemas.openxmlformats.org/officeDocument/2006/relationships/endnotes" Target="endnotes.xml"/><Relationship Id="rId12" Type="http://schemas.openxmlformats.org/officeDocument/2006/relationships/hyperlink" Target="http://www.messecongress.at" TargetMode="External"/><Relationship Id="rId17" Type="http://schemas.openxmlformats.org/officeDocument/2006/relationships/hyperlink" Target="https://shaping.vienna.info/en-us/hom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enna.convention.at/en/about" TargetMode="External"/><Relationship Id="rId20" Type="http://schemas.openxmlformats.org/officeDocument/2006/relationships/hyperlink" Target="https://meeting.vienna.info/en/who-we-are-services/vienna-meeting-industry-repor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fburg.com" TargetMode="External"/><Relationship Id="rId24" Type="http://schemas.openxmlformats.org/officeDocument/2006/relationships/hyperlink" Target="http://www.meeting.vienna.info/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enna.convention.at/en/event-planning/incentive-ideas-and-social-events-programmes" TargetMode="External"/><Relationship Id="rId23" Type="http://schemas.openxmlformats.org/officeDocument/2006/relationships/hyperlink" Target="https://photo.vienna.info" TargetMode="External"/><Relationship Id="rId28" Type="http://schemas.openxmlformats.org/officeDocument/2006/relationships/footer" Target="footer2.xml"/><Relationship Id="rId10" Type="http://schemas.openxmlformats.org/officeDocument/2006/relationships/hyperlink" Target="http://www.acv.at" TargetMode="External"/><Relationship Id="rId19" Type="http://schemas.openxmlformats.org/officeDocument/2006/relationships/hyperlink" Target="https://meeting.vienna.info/en/event-planning/funding-for-events/vienna-meeting-fund-2025-202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enna.convention.at/en/event-planning/venue-finder" TargetMode="External"/><Relationship Id="rId14" Type="http://schemas.openxmlformats.org/officeDocument/2006/relationships/hyperlink" Target="http://www.vienna.convention.at/en/venuefinder" TargetMode="External"/><Relationship Id="rId22" Type="http://schemas.openxmlformats.org/officeDocument/2006/relationships/hyperlink" Target="https://www.vienna.convention.at/en/press"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fp1\shared\Vorlagen\Meeting%20Destination%20Vienna.dotx" TargetMode="External"/></Relationships>
</file>

<file path=word/theme/theme1.xml><?xml version="1.0" encoding="utf-8"?>
<a:theme xmlns:a="http://schemas.openxmlformats.org/drawingml/2006/main" name="Office-Design">
  <a:themeElements>
    <a:clrScheme name="WT_Farbpalette 1">
      <a:dk1>
        <a:srgbClr val="000000"/>
      </a:dk1>
      <a:lt1>
        <a:srgbClr val="FFFFFF"/>
      </a:lt1>
      <a:dk2>
        <a:srgbClr val="000000"/>
      </a:dk2>
      <a:lt2>
        <a:srgbClr val="F8F8F8"/>
      </a:lt2>
      <a:accent1>
        <a:srgbClr val="E52236"/>
      </a:accent1>
      <a:accent2>
        <a:srgbClr val="424242"/>
      </a:accent2>
      <a:accent3>
        <a:srgbClr val="797979"/>
      </a:accent3>
      <a:accent4>
        <a:srgbClr val="A9A9A9"/>
      </a:accent4>
      <a:accent5>
        <a:srgbClr val="D5D5D5"/>
      </a:accent5>
      <a:accent6>
        <a:srgbClr val="EAEAEA"/>
      </a:accent6>
      <a:hlink>
        <a:srgbClr val="797979"/>
      </a:hlink>
      <a:folHlink>
        <a:srgbClr val="D5D5D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FA4AA0-521F-4BB0-8193-04E7BEAF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Destination Vienna.dotx</Template>
  <TotalTime>0</TotalTime>
  <Pages>5</Pages>
  <Words>1998</Words>
  <Characters>12588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WienTourismus</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WienTourismus</dc:title>
  <dc:subject/>
  <dc:creator>Pirchner, Marleen</dc:creator>
  <cp:keywords/>
  <dc:description/>
  <cp:lastModifiedBy>Aoyama-Glanz, Maria</cp:lastModifiedBy>
  <cp:revision>3</cp:revision>
  <cp:lastPrinted>2022-09-01T13:39:00Z</cp:lastPrinted>
  <dcterms:created xsi:type="dcterms:W3CDTF">2024-02-19T13:33:00Z</dcterms:created>
  <dcterms:modified xsi:type="dcterms:W3CDTF">2025-06-23T09:07:00Z</dcterms:modified>
</cp:coreProperties>
</file>